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8300" w14:textId="7948092D" w:rsidR="00E80632" w:rsidRPr="003510BE" w:rsidRDefault="00083A2C" w:rsidP="00E80632">
      <w:pPr>
        <w:spacing w:line="360" w:lineRule="auto"/>
        <w:jc w:val="center"/>
        <w:outlineLvl w:val="0"/>
        <w:rPr>
          <w:b/>
          <w:sz w:val="35"/>
          <w:szCs w:val="35"/>
        </w:rPr>
      </w:pPr>
      <w:r>
        <w:rPr>
          <w:b/>
          <w:sz w:val="35"/>
          <w:szCs w:val="35"/>
        </w:rPr>
        <w:t>PODLASKI</w:t>
      </w:r>
      <w:r w:rsidR="00E80632" w:rsidRPr="003510BE">
        <w:rPr>
          <w:b/>
          <w:sz w:val="35"/>
          <w:szCs w:val="35"/>
        </w:rPr>
        <w:br/>
        <w:t xml:space="preserve"> WOJEWÓDZKI INSPEKTOR</w:t>
      </w:r>
    </w:p>
    <w:p w14:paraId="56275FAE" w14:textId="77777777" w:rsidR="00E80632" w:rsidRPr="003510BE" w:rsidRDefault="00E80632" w:rsidP="00E80632">
      <w:pPr>
        <w:spacing w:line="360" w:lineRule="auto"/>
        <w:jc w:val="center"/>
        <w:outlineLvl w:val="0"/>
        <w:rPr>
          <w:b/>
          <w:sz w:val="35"/>
          <w:szCs w:val="35"/>
        </w:rPr>
      </w:pPr>
      <w:r w:rsidRPr="003510BE">
        <w:rPr>
          <w:b/>
          <w:sz w:val="35"/>
          <w:szCs w:val="35"/>
        </w:rPr>
        <w:t>INSPEKCJI HANDLOWEJ</w:t>
      </w:r>
    </w:p>
    <w:p w14:paraId="3F8E7765" w14:textId="77777777" w:rsidR="00E80632" w:rsidRPr="003510BE" w:rsidRDefault="00E80632" w:rsidP="00E80632">
      <w:pPr>
        <w:spacing w:line="360" w:lineRule="auto"/>
        <w:jc w:val="center"/>
        <w:rPr>
          <w:b/>
          <w:sz w:val="35"/>
          <w:szCs w:val="35"/>
        </w:rPr>
      </w:pPr>
    </w:p>
    <w:p w14:paraId="578727B8" w14:textId="4E62B8CD" w:rsidR="00E80632" w:rsidRPr="003510BE" w:rsidRDefault="00E80632" w:rsidP="00E80632">
      <w:pPr>
        <w:spacing w:line="360" w:lineRule="auto"/>
        <w:jc w:val="center"/>
      </w:pPr>
      <w:r w:rsidRPr="003510BE">
        <w:rPr>
          <w:noProof/>
        </w:rPr>
        <w:drawing>
          <wp:inline distT="0" distB="0" distL="0" distR="0" wp14:anchorId="6B367B6C" wp14:editId="2429DB97">
            <wp:extent cx="2182495" cy="1518285"/>
            <wp:effectExtent l="0" t="0" r="8255" b="5715"/>
            <wp:docPr id="1" name="Obraz 1" descr="logo_inspe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pekcj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495" cy="1518285"/>
                    </a:xfrm>
                    <a:prstGeom prst="rect">
                      <a:avLst/>
                    </a:prstGeom>
                    <a:noFill/>
                    <a:ln>
                      <a:noFill/>
                    </a:ln>
                  </pic:spPr>
                </pic:pic>
              </a:graphicData>
            </a:graphic>
          </wp:inline>
        </w:drawing>
      </w:r>
    </w:p>
    <w:p w14:paraId="770BA95D" w14:textId="77777777" w:rsidR="00E80632" w:rsidRPr="003510BE" w:rsidRDefault="00E80632" w:rsidP="00E80632">
      <w:pPr>
        <w:spacing w:line="360" w:lineRule="auto"/>
        <w:jc w:val="center"/>
        <w:rPr>
          <w:b/>
          <w:sz w:val="35"/>
          <w:szCs w:val="35"/>
        </w:rPr>
      </w:pPr>
    </w:p>
    <w:p w14:paraId="156D47BA" w14:textId="77777777" w:rsidR="00E80632" w:rsidRPr="003510BE" w:rsidRDefault="00E80632" w:rsidP="00E80632">
      <w:pPr>
        <w:spacing w:line="360" w:lineRule="auto"/>
        <w:jc w:val="center"/>
        <w:outlineLvl w:val="0"/>
        <w:rPr>
          <w:b/>
          <w:bCs/>
          <w:sz w:val="48"/>
          <w:szCs w:val="48"/>
        </w:rPr>
      </w:pPr>
      <w:r w:rsidRPr="003510BE">
        <w:rPr>
          <w:b/>
          <w:bCs/>
          <w:sz w:val="48"/>
          <w:szCs w:val="48"/>
        </w:rPr>
        <w:t xml:space="preserve">Sprawozdanie </w:t>
      </w:r>
    </w:p>
    <w:p w14:paraId="1C6576A0" w14:textId="162953DF" w:rsidR="00E80632" w:rsidRPr="003510BE" w:rsidRDefault="00E80632" w:rsidP="00E80632">
      <w:pPr>
        <w:spacing w:line="360" w:lineRule="auto"/>
        <w:jc w:val="center"/>
        <w:rPr>
          <w:b/>
          <w:bCs/>
          <w:sz w:val="48"/>
          <w:szCs w:val="48"/>
        </w:rPr>
      </w:pPr>
      <w:r w:rsidRPr="003510BE">
        <w:rPr>
          <w:b/>
          <w:bCs/>
          <w:sz w:val="48"/>
          <w:szCs w:val="48"/>
        </w:rPr>
        <w:t xml:space="preserve">z działalności Wojewódzkiego Inspektoratu Inspekcji Handlowej w </w:t>
      </w:r>
      <w:r w:rsidR="00083A2C">
        <w:rPr>
          <w:b/>
          <w:bCs/>
          <w:sz w:val="48"/>
          <w:szCs w:val="48"/>
        </w:rPr>
        <w:t>Białymstoku</w:t>
      </w:r>
    </w:p>
    <w:p w14:paraId="7B84999C" w14:textId="541D6C5A" w:rsidR="00E80632" w:rsidRPr="003510BE" w:rsidRDefault="00E80632" w:rsidP="00E80632">
      <w:pPr>
        <w:spacing w:line="360" w:lineRule="auto"/>
        <w:jc w:val="center"/>
        <w:rPr>
          <w:b/>
          <w:sz w:val="48"/>
          <w:szCs w:val="48"/>
        </w:rPr>
      </w:pPr>
      <w:r w:rsidRPr="003510BE">
        <w:rPr>
          <w:b/>
          <w:bCs/>
          <w:sz w:val="48"/>
          <w:szCs w:val="48"/>
        </w:rPr>
        <w:t>za rok 20</w:t>
      </w:r>
      <w:r>
        <w:rPr>
          <w:b/>
          <w:bCs/>
          <w:sz w:val="48"/>
          <w:szCs w:val="48"/>
        </w:rPr>
        <w:t>2</w:t>
      </w:r>
      <w:r w:rsidR="00C4577C">
        <w:rPr>
          <w:b/>
          <w:bCs/>
          <w:sz w:val="48"/>
          <w:szCs w:val="48"/>
        </w:rPr>
        <w:t>2</w:t>
      </w:r>
    </w:p>
    <w:p w14:paraId="2905EC6F" w14:textId="77777777" w:rsidR="00E80632" w:rsidRPr="003510BE" w:rsidRDefault="00E80632" w:rsidP="00E80632">
      <w:pPr>
        <w:spacing w:line="360" w:lineRule="auto"/>
        <w:jc w:val="center"/>
        <w:rPr>
          <w:b/>
          <w:sz w:val="35"/>
          <w:szCs w:val="35"/>
        </w:rPr>
      </w:pPr>
    </w:p>
    <w:p w14:paraId="634C346A" w14:textId="77777777" w:rsidR="00E80632" w:rsidRPr="003510BE" w:rsidRDefault="00E80632" w:rsidP="00E80632">
      <w:pPr>
        <w:spacing w:line="360" w:lineRule="auto"/>
        <w:jc w:val="center"/>
        <w:rPr>
          <w:b/>
          <w:sz w:val="35"/>
          <w:szCs w:val="35"/>
        </w:rPr>
      </w:pPr>
    </w:p>
    <w:p w14:paraId="7D83BB64" w14:textId="77777777" w:rsidR="00E80632" w:rsidRPr="003510BE" w:rsidRDefault="00E80632" w:rsidP="00E80632">
      <w:pPr>
        <w:spacing w:line="360" w:lineRule="auto"/>
        <w:jc w:val="center"/>
        <w:rPr>
          <w:b/>
          <w:sz w:val="35"/>
          <w:szCs w:val="35"/>
        </w:rPr>
      </w:pPr>
    </w:p>
    <w:p w14:paraId="41B8F951" w14:textId="77777777" w:rsidR="00E80632" w:rsidRPr="003510BE" w:rsidRDefault="00E80632" w:rsidP="00E80632">
      <w:pPr>
        <w:spacing w:line="360" w:lineRule="auto"/>
        <w:jc w:val="center"/>
        <w:outlineLvl w:val="0"/>
        <w:rPr>
          <w:b/>
          <w:sz w:val="35"/>
          <w:szCs w:val="35"/>
        </w:rPr>
      </w:pPr>
    </w:p>
    <w:p w14:paraId="70417A5B" w14:textId="77777777" w:rsidR="00E80632" w:rsidRPr="003510BE" w:rsidRDefault="00E80632" w:rsidP="00E80632">
      <w:pPr>
        <w:spacing w:line="360" w:lineRule="auto"/>
        <w:jc w:val="center"/>
        <w:outlineLvl w:val="0"/>
        <w:rPr>
          <w:b/>
          <w:sz w:val="35"/>
          <w:szCs w:val="35"/>
        </w:rPr>
      </w:pPr>
    </w:p>
    <w:p w14:paraId="1AFFDE69" w14:textId="32C854E7" w:rsidR="00E80632" w:rsidRPr="003510BE" w:rsidRDefault="00083A2C" w:rsidP="00E80632">
      <w:pPr>
        <w:spacing w:line="360" w:lineRule="auto"/>
        <w:jc w:val="center"/>
        <w:outlineLvl w:val="0"/>
        <w:rPr>
          <w:b/>
          <w:sz w:val="35"/>
          <w:szCs w:val="35"/>
        </w:rPr>
      </w:pPr>
      <w:r>
        <w:rPr>
          <w:b/>
          <w:sz w:val="35"/>
          <w:szCs w:val="35"/>
        </w:rPr>
        <w:t>Białystok</w:t>
      </w:r>
      <w:r w:rsidR="00C35370">
        <w:rPr>
          <w:b/>
          <w:sz w:val="35"/>
          <w:szCs w:val="35"/>
        </w:rPr>
        <w:t>, luty</w:t>
      </w:r>
      <w:r>
        <w:rPr>
          <w:b/>
          <w:sz w:val="35"/>
          <w:szCs w:val="35"/>
        </w:rPr>
        <w:t xml:space="preserve"> 202</w:t>
      </w:r>
      <w:r w:rsidR="00C4577C">
        <w:rPr>
          <w:b/>
          <w:sz w:val="35"/>
          <w:szCs w:val="35"/>
        </w:rPr>
        <w:t>3</w:t>
      </w:r>
      <w:r w:rsidR="00E80632" w:rsidRPr="003510BE">
        <w:rPr>
          <w:b/>
          <w:sz w:val="35"/>
          <w:szCs w:val="35"/>
        </w:rPr>
        <w:t xml:space="preserve"> r.</w:t>
      </w:r>
    </w:p>
    <w:p w14:paraId="6504249B" w14:textId="77777777" w:rsidR="00E80632" w:rsidRPr="003510BE" w:rsidRDefault="00E80632" w:rsidP="00E80632">
      <w:pPr>
        <w:spacing w:line="360" w:lineRule="auto"/>
        <w:jc w:val="center"/>
        <w:outlineLvl w:val="0"/>
        <w:rPr>
          <w:b/>
          <w:sz w:val="35"/>
          <w:szCs w:val="35"/>
        </w:rPr>
      </w:pPr>
    </w:p>
    <w:p w14:paraId="6AFD2C91" w14:textId="77777777" w:rsidR="00E80632" w:rsidRPr="003510BE" w:rsidRDefault="00E80632" w:rsidP="00E80632">
      <w:pPr>
        <w:spacing w:line="360" w:lineRule="auto"/>
        <w:jc w:val="center"/>
        <w:outlineLvl w:val="0"/>
        <w:rPr>
          <w:b/>
          <w:sz w:val="35"/>
          <w:szCs w:val="35"/>
        </w:rPr>
      </w:pPr>
    </w:p>
    <w:p w14:paraId="0DA3A3DA" w14:textId="77777777" w:rsidR="00E80632" w:rsidRPr="003510BE" w:rsidRDefault="00E80632" w:rsidP="00E80632">
      <w:pPr>
        <w:spacing w:line="360" w:lineRule="auto"/>
        <w:jc w:val="center"/>
        <w:outlineLvl w:val="0"/>
        <w:rPr>
          <w:b/>
          <w:sz w:val="35"/>
          <w:szCs w:val="35"/>
        </w:rPr>
      </w:pPr>
    </w:p>
    <w:p w14:paraId="59D18855" w14:textId="3588129C" w:rsidR="00E80632" w:rsidRPr="00C35370" w:rsidRDefault="00E80632" w:rsidP="00F377D9">
      <w:pPr>
        <w:pStyle w:val="Akapitzlist"/>
        <w:numPr>
          <w:ilvl w:val="0"/>
          <w:numId w:val="24"/>
        </w:numPr>
        <w:spacing w:after="0" w:line="240" w:lineRule="auto"/>
        <w:jc w:val="both"/>
        <w:rPr>
          <w:rFonts w:ascii="Times New Roman" w:hAnsi="Times New Roman"/>
          <w:b/>
          <w:bCs/>
          <w:color w:val="323E4F" w:themeColor="text2" w:themeShade="BF"/>
          <w:sz w:val="28"/>
          <w:szCs w:val="28"/>
        </w:rPr>
      </w:pPr>
      <w:r w:rsidRPr="00C35370">
        <w:rPr>
          <w:rFonts w:ascii="Times New Roman" w:hAnsi="Times New Roman"/>
          <w:b/>
          <w:bCs/>
          <w:color w:val="323E4F" w:themeColor="text2" w:themeShade="BF"/>
          <w:sz w:val="28"/>
          <w:szCs w:val="28"/>
        </w:rPr>
        <w:lastRenderedPageBreak/>
        <w:t xml:space="preserve">Cel i zakres działalności </w:t>
      </w:r>
    </w:p>
    <w:p w14:paraId="5668102D" w14:textId="77777777" w:rsidR="00E80632" w:rsidRPr="00200CE0" w:rsidRDefault="00E80632" w:rsidP="00F377D9">
      <w:pPr>
        <w:jc w:val="both"/>
        <w:rPr>
          <w:b/>
          <w:bCs/>
          <w:sz w:val="28"/>
          <w:szCs w:val="28"/>
        </w:rPr>
      </w:pPr>
    </w:p>
    <w:p w14:paraId="75E7C3DD" w14:textId="7571D4E6" w:rsidR="00E80632" w:rsidRPr="00911779" w:rsidRDefault="00E80632" w:rsidP="00F377D9">
      <w:pPr>
        <w:jc w:val="both"/>
      </w:pPr>
      <w:r w:rsidRPr="00911779">
        <w:t>Głównym obszarem działalności Inspektoratu w 202</w:t>
      </w:r>
      <w:r w:rsidR="00C4577C">
        <w:t>2</w:t>
      </w:r>
      <w:r w:rsidRPr="00911779">
        <w:t xml:space="preserve"> r. były działania mające na celu ochronę interesów i praw konsumentów oraz interesów gospodarczych państwa. Cele te realizowano poprzez:</w:t>
      </w:r>
    </w:p>
    <w:p w14:paraId="5751F496" w14:textId="77777777" w:rsidR="00E80632" w:rsidRPr="00911779" w:rsidRDefault="00E80632" w:rsidP="00F377D9">
      <w:pPr>
        <w:pStyle w:val="Akapitzlist"/>
        <w:numPr>
          <w:ilvl w:val="0"/>
          <w:numId w:val="1"/>
        </w:numPr>
        <w:spacing w:after="0" w:line="240" w:lineRule="auto"/>
        <w:ind w:left="697" w:hanging="357"/>
        <w:jc w:val="both"/>
        <w:rPr>
          <w:rFonts w:ascii="Times New Roman" w:hAnsi="Times New Roman"/>
          <w:sz w:val="24"/>
          <w:szCs w:val="24"/>
        </w:rPr>
      </w:pPr>
      <w:r w:rsidRPr="00911779">
        <w:rPr>
          <w:rFonts w:ascii="Times New Roman" w:hAnsi="Times New Roman"/>
          <w:sz w:val="24"/>
          <w:szCs w:val="24"/>
        </w:rPr>
        <w:t>działa</w:t>
      </w:r>
      <w:r>
        <w:rPr>
          <w:rFonts w:ascii="Times New Roman" w:hAnsi="Times New Roman"/>
          <w:sz w:val="24"/>
          <w:szCs w:val="24"/>
        </w:rPr>
        <w:t>nia</w:t>
      </w:r>
      <w:r w:rsidRPr="00911779">
        <w:rPr>
          <w:rFonts w:ascii="Times New Roman" w:hAnsi="Times New Roman"/>
          <w:sz w:val="24"/>
          <w:szCs w:val="24"/>
        </w:rPr>
        <w:t xml:space="preserve"> kontrolne,</w:t>
      </w:r>
    </w:p>
    <w:p w14:paraId="7E210FB5" w14:textId="6ADD4F2D" w:rsidR="00E80632" w:rsidRDefault="00E80632" w:rsidP="00F377D9">
      <w:pPr>
        <w:pStyle w:val="Akapitzlist"/>
        <w:numPr>
          <w:ilvl w:val="0"/>
          <w:numId w:val="1"/>
        </w:numPr>
        <w:spacing w:after="0" w:line="240" w:lineRule="auto"/>
        <w:ind w:left="697" w:hanging="357"/>
        <w:jc w:val="both"/>
        <w:rPr>
          <w:rFonts w:ascii="Times New Roman" w:hAnsi="Times New Roman"/>
          <w:sz w:val="24"/>
          <w:szCs w:val="24"/>
        </w:rPr>
      </w:pPr>
      <w:r>
        <w:rPr>
          <w:rFonts w:ascii="Times New Roman" w:hAnsi="Times New Roman"/>
          <w:sz w:val="24"/>
          <w:szCs w:val="24"/>
        </w:rPr>
        <w:t xml:space="preserve">prowadzenie </w:t>
      </w:r>
      <w:r w:rsidR="00121354" w:rsidRPr="00911779">
        <w:rPr>
          <w:rFonts w:ascii="Times New Roman" w:hAnsi="Times New Roman"/>
          <w:sz w:val="24"/>
          <w:szCs w:val="24"/>
        </w:rPr>
        <w:t xml:space="preserve">postępowań </w:t>
      </w:r>
      <w:r w:rsidR="00121354">
        <w:rPr>
          <w:rFonts w:ascii="Times New Roman" w:hAnsi="Times New Roman"/>
          <w:sz w:val="24"/>
          <w:szCs w:val="24"/>
        </w:rPr>
        <w:t xml:space="preserve">w zakresie </w:t>
      </w:r>
      <w:r w:rsidRPr="00911779">
        <w:rPr>
          <w:rFonts w:ascii="Times New Roman" w:hAnsi="Times New Roman"/>
          <w:sz w:val="24"/>
          <w:szCs w:val="24"/>
        </w:rPr>
        <w:t>pozasądow</w:t>
      </w:r>
      <w:r w:rsidR="00121354">
        <w:rPr>
          <w:rFonts w:ascii="Times New Roman" w:hAnsi="Times New Roman"/>
          <w:sz w:val="24"/>
          <w:szCs w:val="24"/>
        </w:rPr>
        <w:t>ego</w:t>
      </w:r>
      <w:r w:rsidRPr="00911779">
        <w:rPr>
          <w:rFonts w:ascii="Times New Roman" w:hAnsi="Times New Roman"/>
          <w:sz w:val="24"/>
          <w:szCs w:val="24"/>
        </w:rPr>
        <w:t xml:space="preserve"> rozwiązywania sporów konsumenckich między konsumentami a przedsiębiorcami</w:t>
      </w:r>
      <w:r w:rsidR="00E0118F">
        <w:rPr>
          <w:rFonts w:ascii="Times New Roman" w:hAnsi="Times New Roman"/>
          <w:sz w:val="24"/>
          <w:szCs w:val="24"/>
        </w:rPr>
        <w:t xml:space="preserve"> oraz udzielanie porad prawnych,</w:t>
      </w:r>
    </w:p>
    <w:p w14:paraId="150187E5" w14:textId="0CBF7F7C" w:rsidR="00B63E4F" w:rsidRDefault="00B63E4F" w:rsidP="00F377D9">
      <w:pPr>
        <w:pStyle w:val="Akapitzlist"/>
        <w:numPr>
          <w:ilvl w:val="0"/>
          <w:numId w:val="1"/>
        </w:numPr>
        <w:spacing w:after="0" w:line="240" w:lineRule="auto"/>
        <w:ind w:left="697" w:hanging="357"/>
        <w:jc w:val="both"/>
        <w:rPr>
          <w:rFonts w:ascii="Times New Roman" w:hAnsi="Times New Roman"/>
          <w:sz w:val="24"/>
          <w:szCs w:val="24"/>
        </w:rPr>
      </w:pPr>
      <w:r>
        <w:rPr>
          <w:rFonts w:ascii="Times New Roman" w:hAnsi="Times New Roman"/>
          <w:sz w:val="24"/>
          <w:szCs w:val="24"/>
        </w:rPr>
        <w:t>prowadzenie postępowań przed Stał</w:t>
      </w:r>
      <w:r w:rsidR="00B31BD9">
        <w:rPr>
          <w:rFonts w:ascii="Times New Roman" w:hAnsi="Times New Roman"/>
          <w:sz w:val="24"/>
          <w:szCs w:val="24"/>
        </w:rPr>
        <w:t>ym Sądem Polubownym</w:t>
      </w:r>
      <w:r>
        <w:rPr>
          <w:rFonts w:ascii="Times New Roman" w:hAnsi="Times New Roman"/>
          <w:sz w:val="24"/>
          <w:szCs w:val="24"/>
        </w:rPr>
        <w:t>,</w:t>
      </w:r>
    </w:p>
    <w:p w14:paraId="55647E33" w14:textId="77777777" w:rsidR="00E80632" w:rsidRPr="00911779" w:rsidRDefault="00E80632" w:rsidP="00F377D9">
      <w:pPr>
        <w:pStyle w:val="Akapitzlist"/>
        <w:numPr>
          <w:ilvl w:val="0"/>
          <w:numId w:val="1"/>
        </w:numPr>
        <w:spacing w:after="0" w:line="240" w:lineRule="auto"/>
        <w:ind w:left="697" w:hanging="357"/>
        <w:jc w:val="both"/>
        <w:rPr>
          <w:rFonts w:ascii="Times New Roman" w:hAnsi="Times New Roman"/>
          <w:sz w:val="24"/>
          <w:szCs w:val="24"/>
        </w:rPr>
      </w:pPr>
      <w:r>
        <w:rPr>
          <w:rFonts w:ascii="Times New Roman" w:hAnsi="Times New Roman"/>
          <w:sz w:val="24"/>
          <w:szCs w:val="24"/>
        </w:rPr>
        <w:t>sporządzanie na wniosek organów celno-skarbowych opinii dotyczących spełnienia wymagań prawnych przez towary importowane na teren UE,</w:t>
      </w:r>
    </w:p>
    <w:p w14:paraId="0B4A56A7" w14:textId="2DAF2BF3" w:rsidR="00E80632" w:rsidRPr="00911779" w:rsidRDefault="00E80632" w:rsidP="00F377D9">
      <w:pPr>
        <w:pStyle w:val="Akapitzlist"/>
        <w:numPr>
          <w:ilvl w:val="0"/>
          <w:numId w:val="1"/>
        </w:numPr>
        <w:spacing w:after="0" w:line="240" w:lineRule="auto"/>
        <w:ind w:left="697" w:hanging="357"/>
        <w:jc w:val="both"/>
        <w:rPr>
          <w:rFonts w:ascii="Times New Roman" w:hAnsi="Times New Roman"/>
          <w:sz w:val="24"/>
          <w:szCs w:val="24"/>
        </w:rPr>
      </w:pPr>
      <w:r>
        <w:rPr>
          <w:rFonts w:ascii="Times New Roman" w:hAnsi="Times New Roman"/>
          <w:sz w:val="24"/>
          <w:szCs w:val="24"/>
        </w:rPr>
        <w:t xml:space="preserve">wykonywanie </w:t>
      </w:r>
      <w:r w:rsidRPr="00911779">
        <w:rPr>
          <w:rFonts w:ascii="Times New Roman" w:hAnsi="Times New Roman"/>
          <w:sz w:val="24"/>
          <w:szCs w:val="24"/>
        </w:rPr>
        <w:t>innych czynności zlecanych przez Prezesa Urzędu Ochrony Konkurencji</w:t>
      </w:r>
      <w:r>
        <w:rPr>
          <w:rFonts w:ascii="Times New Roman" w:hAnsi="Times New Roman"/>
          <w:sz w:val="24"/>
          <w:szCs w:val="24"/>
        </w:rPr>
        <w:br/>
      </w:r>
      <w:r w:rsidRPr="00911779">
        <w:rPr>
          <w:rFonts w:ascii="Times New Roman" w:hAnsi="Times New Roman"/>
          <w:sz w:val="24"/>
          <w:szCs w:val="24"/>
        </w:rPr>
        <w:t>i Konsumentów</w:t>
      </w:r>
      <w:r w:rsidR="006D71B7">
        <w:rPr>
          <w:rFonts w:ascii="Times New Roman" w:hAnsi="Times New Roman"/>
          <w:sz w:val="24"/>
          <w:szCs w:val="24"/>
        </w:rPr>
        <w:t xml:space="preserve"> –  m in. prowadzenie monitoringu cen</w:t>
      </w:r>
      <w:r w:rsidR="00DB2EB7">
        <w:rPr>
          <w:rFonts w:ascii="Times New Roman" w:hAnsi="Times New Roman"/>
          <w:sz w:val="24"/>
          <w:szCs w:val="24"/>
        </w:rPr>
        <w:t xml:space="preserve"> paliw ciekłych i</w:t>
      </w:r>
      <w:r w:rsidR="00447389">
        <w:rPr>
          <w:rFonts w:ascii="Times New Roman" w:hAnsi="Times New Roman"/>
          <w:sz w:val="24"/>
          <w:szCs w:val="24"/>
        </w:rPr>
        <w:t xml:space="preserve"> żywności w związku z wprowadzeniem zerowej stawki VAT</w:t>
      </w:r>
      <w:r w:rsidR="00DB2EB7">
        <w:rPr>
          <w:rFonts w:ascii="Times New Roman" w:hAnsi="Times New Roman"/>
          <w:sz w:val="24"/>
          <w:szCs w:val="24"/>
        </w:rPr>
        <w:t xml:space="preserve"> </w:t>
      </w:r>
      <w:r w:rsidR="006D71B7">
        <w:rPr>
          <w:rFonts w:ascii="Times New Roman" w:hAnsi="Times New Roman"/>
          <w:sz w:val="24"/>
          <w:szCs w:val="24"/>
        </w:rPr>
        <w:t xml:space="preserve"> </w:t>
      </w:r>
      <w:r w:rsidRPr="00911779">
        <w:rPr>
          <w:rFonts w:ascii="Times New Roman" w:hAnsi="Times New Roman"/>
          <w:sz w:val="24"/>
          <w:szCs w:val="24"/>
        </w:rPr>
        <w:t>.</w:t>
      </w:r>
    </w:p>
    <w:p w14:paraId="3DEAFC44" w14:textId="77777777" w:rsidR="00E80632" w:rsidRPr="00121354" w:rsidRDefault="00E80632" w:rsidP="00E80632">
      <w:pPr>
        <w:ind w:left="1080"/>
        <w:jc w:val="both"/>
        <w:rPr>
          <w:sz w:val="28"/>
          <w:szCs w:val="28"/>
        </w:rPr>
      </w:pPr>
    </w:p>
    <w:p w14:paraId="7ADC8DFF" w14:textId="61965C40" w:rsidR="00E80632" w:rsidRDefault="00E80632" w:rsidP="00F377D9">
      <w:pPr>
        <w:pStyle w:val="Tekstpodstawowywcity22"/>
        <w:numPr>
          <w:ilvl w:val="0"/>
          <w:numId w:val="24"/>
        </w:numPr>
        <w:spacing w:before="0" w:after="0"/>
        <w:jc w:val="both"/>
        <w:rPr>
          <w:b/>
          <w:color w:val="323E4F" w:themeColor="text2" w:themeShade="BF"/>
          <w:sz w:val="28"/>
          <w:szCs w:val="28"/>
        </w:rPr>
      </w:pPr>
      <w:r w:rsidRPr="00A0065F">
        <w:rPr>
          <w:b/>
          <w:color w:val="323E4F" w:themeColor="text2" w:themeShade="BF"/>
          <w:sz w:val="28"/>
          <w:szCs w:val="28"/>
        </w:rPr>
        <w:t>Organizacja Wojewódzkiego Inspektoratu</w:t>
      </w:r>
    </w:p>
    <w:p w14:paraId="67FBF91A" w14:textId="77777777" w:rsidR="00C35370" w:rsidRPr="00A0065F" w:rsidRDefault="00C35370" w:rsidP="00C35370">
      <w:pPr>
        <w:pStyle w:val="Tekstpodstawowywcity22"/>
        <w:spacing w:before="0" w:after="0"/>
        <w:ind w:left="1080"/>
        <w:jc w:val="both"/>
        <w:rPr>
          <w:b/>
          <w:color w:val="323E4F" w:themeColor="text2" w:themeShade="BF"/>
          <w:sz w:val="28"/>
          <w:szCs w:val="28"/>
        </w:rPr>
      </w:pPr>
    </w:p>
    <w:p w14:paraId="7A4072E8" w14:textId="77777777" w:rsidR="00E80632" w:rsidRPr="00911779" w:rsidRDefault="00E80632" w:rsidP="00F377D9">
      <w:pPr>
        <w:pStyle w:val="Tekstpodstawowywcity22"/>
        <w:spacing w:before="0" w:after="0"/>
        <w:jc w:val="both"/>
      </w:pPr>
      <w:r w:rsidRPr="00911779">
        <w:t xml:space="preserve">Zadania w zakresie: </w:t>
      </w:r>
    </w:p>
    <w:p w14:paraId="1585377A" w14:textId="007CE2BD" w:rsidR="00E80632" w:rsidRPr="00911779" w:rsidRDefault="00E80632" w:rsidP="00F377D9">
      <w:pPr>
        <w:pStyle w:val="Akapitzlist"/>
        <w:numPr>
          <w:ilvl w:val="0"/>
          <w:numId w:val="8"/>
        </w:numPr>
        <w:spacing w:after="0" w:line="240" w:lineRule="auto"/>
        <w:ind w:left="697" w:hanging="357"/>
        <w:jc w:val="both"/>
        <w:rPr>
          <w:rFonts w:eastAsia="Times New Roman"/>
        </w:rPr>
      </w:pPr>
      <w:r w:rsidRPr="00911779">
        <w:rPr>
          <w:rFonts w:ascii="Times New Roman" w:hAnsi="Times New Roman"/>
          <w:sz w:val="24"/>
          <w:szCs w:val="24"/>
        </w:rPr>
        <w:t>działalności merytorycznej realizowały Wydział</w:t>
      </w:r>
      <w:r w:rsidR="00121354">
        <w:rPr>
          <w:rFonts w:ascii="Times New Roman" w:hAnsi="Times New Roman"/>
          <w:sz w:val="24"/>
          <w:szCs w:val="24"/>
        </w:rPr>
        <w:t xml:space="preserve"> </w:t>
      </w:r>
      <w:r w:rsidRPr="00911779">
        <w:rPr>
          <w:rFonts w:ascii="Times New Roman" w:hAnsi="Times New Roman"/>
          <w:sz w:val="24"/>
          <w:szCs w:val="24"/>
        </w:rPr>
        <w:t>Kontroli Artykułów Nieżywnościowych i Usług</w:t>
      </w:r>
      <w:r w:rsidR="00E23728">
        <w:rPr>
          <w:rFonts w:ascii="Times New Roman" w:hAnsi="Times New Roman"/>
          <w:sz w:val="24"/>
          <w:szCs w:val="24"/>
        </w:rPr>
        <w:t xml:space="preserve"> (NU)</w:t>
      </w:r>
      <w:r w:rsidRPr="00911779">
        <w:rPr>
          <w:rFonts w:ascii="Times New Roman" w:hAnsi="Times New Roman"/>
          <w:sz w:val="24"/>
          <w:szCs w:val="24"/>
        </w:rPr>
        <w:t xml:space="preserve">, </w:t>
      </w:r>
      <w:r w:rsidR="00E0118F">
        <w:rPr>
          <w:rFonts w:ascii="Times New Roman" w:hAnsi="Times New Roman"/>
          <w:sz w:val="24"/>
          <w:szCs w:val="24"/>
        </w:rPr>
        <w:t xml:space="preserve">Wydział </w:t>
      </w:r>
      <w:r w:rsidR="005366A3">
        <w:rPr>
          <w:rFonts w:ascii="Times New Roman" w:hAnsi="Times New Roman"/>
          <w:sz w:val="24"/>
          <w:szCs w:val="24"/>
        </w:rPr>
        <w:t>Nadzoru Rynku i Kontroli Paliw</w:t>
      </w:r>
      <w:r w:rsidR="00E23728">
        <w:rPr>
          <w:rFonts w:ascii="Times New Roman" w:hAnsi="Times New Roman"/>
          <w:sz w:val="24"/>
          <w:szCs w:val="24"/>
        </w:rPr>
        <w:t xml:space="preserve"> (NP.)</w:t>
      </w:r>
      <w:r w:rsidRPr="00911779">
        <w:rPr>
          <w:rFonts w:ascii="Times New Roman" w:eastAsia="Times New Roman" w:hAnsi="Times New Roman"/>
          <w:sz w:val="24"/>
          <w:szCs w:val="24"/>
          <w:lang w:eastAsia="zh-CN"/>
        </w:rPr>
        <w:t xml:space="preserve">, </w:t>
      </w:r>
      <w:r w:rsidRPr="00911779">
        <w:rPr>
          <w:rFonts w:ascii="Times New Roman" w:hAnsi="Times New Roman"/>
          <w:sz w:val="24"/>
          <w:szCs w:val="24"/>
        </w:rPr>
        <w:t xml:space="preserve">Delegatury w </w:t>
      </w:r>
      <w:r w:rsidR="005366A3">
        <w:rPr>
          <w:rFonts w:ascii="Times New Roman" w:hAnsi="Times New Roman"/>
          <w:sz w:val="24"/>
          <w:szCs w:val="24"/>
        </w:rPr>
        <w:t>Suwałkach</w:t>
      </w:r>
      <w:r w:rsidR="00E23728">
        <w:rPr>
          <w:rFonts w:ascii="Times New Roman" w:hAnsi="Times New Roman"/>
          <w:sz w:val="24"/>
          <w:szCs w:val="24"/>
        </w:rPr>
        <w:t xml:space="preserve"> (DS)</w:t>
      </w:r>
      <w:r w:rsidR="005366A3">
        <w:rPr>
          <w:rFonts w:ascii="Times New Roman" w:hAnsi="Times New Roman"/>
          <w:sz w:val="24"/>
          <w:szCs w:val="24"/>
        </w:rPr>
        <w:t xml:space="preserve"> i Łomży</w:t>
      </w:r>
      <w:r w:rsidR="00E23728">
        <w:rPr>
          <w:rFonts w:ascii="Times New Roman" w:hAnsi="Times New Roman"/>
          <w:sz w:val="24"/>
          <w:szCs w:val="24"/>
        </w:rPr>
        <w:t>(DŁ)</w:t>
      </w:r>
      <w:r w:rsidRPr="005366A3">
        <w:rPr>
          <w:rFonts w:ascii="Times New Roman" w:hAnsi="Times New Roman"/>
          <w:sz w:val="24"/>
          <w:szCs w:val="24"/>
        </w:rPr>
        <w:t>,</w:t>
      </w:r>
      <w:r w:rsidR="00E0118F">
        <w:rPr>
          <w:rFonts w:ascii="Times New Roman" w:hAnsi="Times New Roman"/>
          <w:sz w:val="24"/>
          <w:szCs w:val="24"/>
        </w:rPr>
        <w:t xml:space="preserve"> Wydział Prawno-Organizacyjny</w:t>
      </w:r>
      <w:r w:rsidR="00B31BD9">
        <w:rPr>
          <w:rFonts w:ascii="Times New Roman" w:hAnsi="Times New Roman"/>
          <w:sz w:val="24"/>
          <w:szCs w:val="24"/>
        </w:rPr>
        <w:t xml:space="preserve"> </w:t>
      </w:r>
      <w:r w:rsidR="00B31BD9" w:rsidRPr="00911779">
        <w:rPr>
          <w:rFonts w:ascii="Times New Roman" w:hAnsi="Times New Roman"/>
          <w:sz w:val="24"/>
          <w:szCs w:val="24"/>
        </w:rPr>
        <w:t>oraz Stały Sąd Polubowny</w:t>
      </w:r>
      <w:r w:rsidR="00E0118F">
        <w:rPr>
          <w:rFonts w:ascii="Times New Roman" w:hAnsi="Times New Roman"/>
          <w:sz w:val="24"/>
          <w:szCs w:val="24"/>
        </w:rPr>
        <w:t>,</w:t>
      </w:r>
    </w:p>
    <w:p w14:paraId="32AE0D47" w14:textId="3907EA3C" w:rsidR="00E80632" w:rsidRDefault="00E80632" w:rsidP="00F377D9">
      <w:pPr>
        <w:pStyle w:val="Akapitzlist"/>
        <w:numPr>
          <w:ilvl w:val="0"/>
          <w:numId w:val="8"/>
        </w:numPr>
        <w:spacing w:after="0" w:line="240" w:lineRule="auto"/>
        <w:ind w:left="697" w:hanging="357"/>
        <w:jc w:val="both"/>
        <w:rPr>
          <w:rFonts w:ascii="Times New Roman" w:eastAsia="Times New Roman" w:hAnsi="Times New Roman"/>
          <w:sz w:val="24"/>
          <w:szCs w:val="24"/>
        </w:rPr>
      </w:pPr>
      <w:r w:rsidRPr="00911779">
        <w:rPr>
          <w:rFonts w:ascii="Times New Roman" w:eastAsia="Times New Roman" w:hAnsi="Times New Roman"/>
          <w:sz w:val="24"/>
          <w:szCs w:val="24"/>
          <w:lang w:eastAsia="zh-CN"/>
        </w:rPr>
        <w:t>obsługi organizacyjnej i prawnej Wydziały: Budżetowo</w:t>
      </w:r>
      <w:r w:rsidR="00911D2E">
        <w:rPr>
          <w:rFonts w:ascii="Times New Roman" w:eastAsia="Times New Roman" w:hAnsi="Times New Roman"/>
          <w:sz w:val="24"/>
          <w:szCs w:val="24"/>
          <w:lang w:eastAsia="zh-CN"/>
        </w:rPr>
        <w:t xml:space="preserve"> –</w:t>
      </w:r>
      <w:r w:rsidRPr="00911779">
        <w:rPr>
          <w:rFonts w:ascii="Times New Roman" w:eastAsia="Times New Roman" w:hAnsi="Times New Roman"/>
          <w:sz w:val="24"/>
          <w:szCs w:val="24"/>
          <w:lang w:eastAsia="zh-CN"/>
        </w:rPr>
        <w:t xml:space="preserve"> Administracyjny oraz Prawno – Organizacyjny.</w:t>
      </w:r>
    </w:p>
    <w:p w14:paraId="1BD9A85F" w14:textId="77777777" w:rsidR="00EE0625" w:rsidRDefault="00EE0625" w:rsidP="00EE0625">
      <w:pPr>
        <w:pStyle w:val="Akapitzlist"/>
        <w:spacing w:after="0" w:line="240" w:lineRule="auto"/>
        <w:ind w:left="697"/>
        <w:jc w:val="both"/>
        <w:rPr>
          <w:rFonts w:ascii="Times New Roman" w:eastAsia="Times New Roman" w:hAnsi="Times New Roman"/>
          <w:sz w:val="24"/>
          <w:szCs w:val="24"/>
        </w:rPr>
      </w:pPr>
    </w:p>
    <w:p w14:paraId="7FB1CE18" w14:textId="39CE7DE1" w:rsidR="00E23728" w:rsidRDefault="00E23728" w:rsidP="00E23728">
      <w:pPr>
        <w:jc w:val="both"/>
        <w:rPr>
          <w:rFonts w:eastAsia="Times New Roman"/>
        </w:rPr>
      </w:pPr>
      <w:r>
        <w:rPr>
          <w:rFonts w:eastAsia="Times New Roman"/>
        </w:rPr>
        <w:t>W roku 2021 w WIIH w Białymstoku zatrudnionyc</w:t>
      </w:r>
      <w:r w:rsidR="00490A73">
        <w:rPr>
          <w:rFonts w:eastAsia="Times New Roman"/>
        </w:rPr>
        <w:t>h było 50 pracowników – w tym 28</w:t>
      </w:r>
      <w:r>
        <w:rPr>
          <w:rFonts w:eastAsia="Times New Roman"/>
        </w:rPr>
        <w:t xml:space="preserve"> inspektorów kontroli. W 2022</w:t>
      </w:r>
      <w:r w:rsidR="00691420">
        <w:rPr>
          <w:rFonts w:eastAsia="Times New Roman"/>
        </w:rPr>
        <w:t xml:space="preserve"> </w:t>
      </w:r>
      <w:r>
        <w:rPr>
          <w:rFonts w:eastAsia="Times New Roman"/>
        </w:rPr>
        <w:t>r. liczba zatrudnionych zmni</w:t>
      </w:r>
      <w:r w:rsidR="00490A73">
        <w:rPr>
          <w:rFonts w:eastAsia="Times New Roman"/>
        </w:rPr>
        <w:t xml:space="preserve">ejszyła się do 48 osób, przy niezmienionej liczbie </w:t>
      </w:r>
      <w:r>
        <w:rPr>
          <w:rFonts w:eastAsia="Times New Roman"/>
        </w:rPr>
        <w:t xml:space="preserve"> inspektorów</w:t>
      </w:r>
      <w:r w:rsidR="006D6890">
        <w:rPr>
          <w:rFonts w:eastAsia="Times New Roman"/>
        </w:rPr>
        <w:t xml:space="preserve"> kontroli</w:t>
      </w:r>
      <w:r>
        <w:rPr>
          <w:rFonts w:eastAsia="Times New Roman"/>
        </w:rPr>
        <w:t>.</w:t>
      </w:r>
    </w:p>
    <w:p w14:paraId="7AC24EB1" w14:textId="77777777" w:rsidR="00E23728" w:rsidRPr="00E23728" w:rsidRDefault="00E23728" w:rsidP="00E23728">
      <w:pPr>
        <w:jc w:val="both"/>
        <w:rPr>
          <w:rFonts w:eastAsia="Times New Roman"/>
        </w:rPr>
      </w:pPr>
    </w:p>
    <w:p w14:paraId="431CF803" w14:textId="4CABB187" w:rsidR="00E80632" w:rsidRPr="00A0065F" w:rsidRDefault="00E80632" w:rsidP="00F377D9">
      <w:pPr>
        <w:pStyle w:val="Tekstpodstawowy"/>
        <w:numPr>
          <w:ilvl w:val="0"/>
          <w:numId w:val="24"/>
        </w:numPr>
        <w:jc w:val="left"/>
        <w:rPr>
          <w:b/>
          <w:color w:val="323E4F" w:themeColor="text2" w:themeShade="BF"/>
          <w:sz w:val="28"/>
          <w:szCs w:val="28"/>
        </w:rPr>
      </w:pPr>
      <w:r w:rsidRPr="00A0065F">
        <w:rPr>
          <w:b/>
          <w:color w:val="323E4F" w:themeColor="text2" w:themeShade="BF"/>
          <w:sz w:val="28"/>
          <w:szCs w:val="28"/>
        </w:rPr>
        <w:t>Działalność kontrolna</w:t>
      </w:r>
    </w:p>
    <w:p w14:paraId="496375B6" w14:textId="77777777" w:rsidR="00E80632" w:rsidRPr="00121354" w:rsidRDefault="00E80632" w:rsidP="00F377D9">
      <w:pPr>
        <w:pStyle w:val="Tekstpodstawowy"/>
        <w:ind w:left="360"/>
        <w:jc w:val="left"/>
        <w:rPr>
          <w:b/>
        </w:rPr>
      </w:pPr>
    </w:p>
    <w:p w14:paraId="4F5D9DD3" w14:textId="77777777" w:rsidR="00E0118F" w:rsidRPr="000503D0" w:rsidRDefault="00E80632" w:rsidP="00F377D9">
      <w:pPr>
        <w:pStyle w:val="Akapitzlist"/>
        <w:numPr>
          <w:ilvl w:val="0"/>
          <w:numId w:val="4"/>
        </w:numPr>
        <w:spacing w:after="0" w:line="240" w:lineRule="auto"/>
        <w:ind w:left="0" w:firstLine="0"/>
        <w:jc w:val="both"/>
        <w:rPr>
          <w:rFonts w:ascii="Times New Roman" w:hAnsi="Times New Roman"/>
          <w:sz w:val="24"/>
          <w:szCs w:val="24"/>
        </w:rPr>
      </w:pPr>
      <w:r w:rsidRPr="00E0118F">
        <w:rPr>
          <w:rFonts w:ascii="Times New Roman" w:hAnsi="Times New Roman"/>
          <w:b/>
          <w:sz w:val="28"/>
          <w:szCs w:val="28"/>
        </w:rPr>
        <w:t xml:space="preserve">Charakterystyka form i obszary działania kontrolowanych podmiotów. </w:t>
      </w:r>
    </w:p>
    <w:p w14:paraId="69BE7BC0" w14:textId="77777777" w:rsidR="000503D0" w:rsidRPr="00E23728" w:rsidRDefault="000503D0" w:rsidP="005C0B3B">
      <w:pPr>
        <w:pStyle w:val="Akapitzlist"/>
        <w:spacing w:after="0" w:line="240" w:lineRule="auto"/>
        <w:ind w:left="0"/>
        <w:jc w:val="both"/>
        <w:rPr>
          <w:rFonts w:ascii="Times New Roman" w:hAnsi="Times New Roman"/>
          <w:sz w:val="24"/>
          <w:szCs w:val="24"/>
        </w:rPr>
      </w:pPr>
    </w:p>
    <w:p w14:paraId="24329BB3" w14:textId="60A0CF50" w:rsidR="005F79BE" w:rsidRPr="00DD6823" w:rsidRDefault="00B31BD9" w:rsidP="00DD6823">
      <w:pPr>
        <w:pStyle w:val="Akapitzlist"/>
        <w:spacing w:after="0" w:line="240" w:lineRule="auto"/>
        <w:ind w:left="0"/>
        <w:jc w:val="both"/>
        <w:rPr>
          <w:rFonts w:ascii="Times New Roman" w:hAnsi="Times New Roman"/>
        </w:rPr>
      </w:pPr>
      <w:r>
        <w:rPr>
          <w:rFonts w:ascii="Times New Roman" w:hAnsi="Times New Roman"/>
          <w:sz w:val="24"/>
          <w:szCs w:val="24"/>
        </w:rPr>
        <w:t>Działalność kontrolną</w:t>
      </w:r>
      <w:r w:rsidR="00E80632" w:rsidRPr="005F79BE">
        <w:rPr>
          <w:rFonts w:ascii="Times New Roman" w:hAnsi="Times New Roman"/>
          <w:sz w:val="24"/>
          <w:szCs w:val="24"/>
        </w:rPr>
        <w:t xml:space="preserve"> prowadzono</w:t>
      </w:r>
      <w:r w:rsidR="00DB2EB7">
        <w:rPr>
          <w:rFonts w:ascii="Times New Roman" w:hAnsi="Times New Roman"/>
          <w:sz w:val="24"/>
          <w:szCs w:val="24"/>
        </w:rPr>
        <w:t xml:space="preserve"> głównie</w:t>
      </w:r>
      <w:r w:rsidR="00E80632" w:rsidRPr="005F79BE">
        <w:rPr>
          <w:rFonts w:ascii="Times New Roman" w:hAnsi="Times New Roman"/>
          <w:sz w:val="24"/>
          <w:szCs w:val="24"/>
        </w:rPr>
        <w:t xml:space="preserve"> w oparciu o</w:t>
      </w:r>
      <w:r>
        <w:rPr>
          <w:rFonts w:ascii="Times New Roman" w:hAnsi="Times New Roman"/>
          <w:sz w:val="24"/>
          <w:szCs w:val="24"/>
        </w:rPr>
        <w:t xml:space="preserve"> Roczny plan</w:t>
      </w:r>
      <w:r w:rsidR="00E80632" w:rsidRPr="005F79BE">
        <w:rPr>
          <w:rFonts w:ascii="Times New Roman" w:hAnsi="Times New Roman"/>
          <w:sz w:val="24"/>
          <w:szCs w:val="24"/>
        </w:rPr>
        <w:t xml:space="preserve"> </w:t>
      </w:r>
      <w:r w:rsidR="005366A3" w:rsidRPr="005F79BE">
        <w:rPr>
          <w:rFonts w:ascii="Times New Roman" w:hAnsi="Times New Roman"/>
          <w:sz w:val="24"/>
          <w:szCs w:val="24"/>
        </w:rPr>
        <w:t>pracy</w:t>
      </w:r>
      <w:r>
        <w:rPr>
          <w:rFonts w:ascii="Times New Roman" w:hAnsi="Times New Roman"/>
          <w:sz w:val="24"/>
          <w:szCs w:val="24"/>
        </w:rPr>
        <w:t xml:space="preserve"> ujmujący</w:t>
      </w:r>
      <w:r w:rsidR="00E80632" w:rsidRPr="005F79BE">
        <w:rPr>
          <w:rFonts w:ascii="Times New Roman" w:hAnsi="Times New Roman"/>
          <w:sz w:val="24"/>
          <w:szCs w:val="24"/>
        </w:rPr>
        <w:t xml:space="preserve"> kontrole: zlecone przez Prezesa UOKiK i inne organy, kontrole</w:t>
      </w:r>
      <w:r w:rsidR="00F01385" w:rsidRPr="005F79BE">
        <w:rPr>
          <w:rFonts w:ascii="Times New Roman" w:hAnsi="Times New Roman"/>
          <w:sz w:val="24"/>
          <w:szCs w:val="24"/>
        </w:rPr>
        <w:t xml:space="preserve"> własne oraz doraźne</w:t>
      </w:r>
      <w:r>
        <w:rPr>
          <w:rFonts w:ascii="Times New Roman" w:hAnsi="Times New Roman"/>
          <w:sz w:val="24"/>
          <w:szCs w:val="24"/>
        </w:rPr>
        <w:t xml:space="preserve"> (interwencyjne)</w:t>
      </w:r>
      <w:r w:rsidR="00F01385" w:rsidRPr="005F79BE">
        <w:rPr>
          <w:rFonts w:ascii="Times New Roman" w:hAnsi="Times New Roman"/>
          <w:sz w:val="24"/>
          <w:szCs w:val="24"/>
        </w:rPr>
        <w:t xml:space="preserve"> wynikające </w:t>
      </w:r>
      <w:r>
        <w:rPr>
          <w:rFonts w:ascii="Times New Roman" w:hAnsi="Times New Roman"/>
          <w:sz w:val="24"/>
          <w:szCs w:val="24"/>
        </w:rPr>
        <w:t>z sygnałów o występowaniu nieprawidłowości na rynku towarów i usług. Plan kontroli określał</w:t>
      </w:r>
      <w:r w:rsidR="00E80632" w:rsidRPr="005F79BE">
        <w:rPr>
          <w:rFonts w:ascii="Times New Roman" w:hAnsi="Times New Roman"/>
          <w:sz w:val="24"/>
          <w:szCs w:val="24"/>
        </w:rPr>
        <w:t xml:space="preserve"> tematy kontroli oraz ich zakres</w:t>
      </w:r>
      <w:r>
        <w:rPr>
          <w:rFonts w:ascii="Times New Roman" w:hAnsi="Times New Roman"/>
          <w:sz w:val="24"/>
          <w:szCs w:val="24"/>
        </w:rPr>
        <w:t xml:space="preserve"> </w:t>
      </w:r>
      <w:r w:rsidR="00DB2EB7">
        <w:rPr>
          <w:rFonts w:ascii="Times New Roman" w:hAnsi="Times New Roman"/>
          <w:sz w:val="24"/>
          <w:szCs w:val="24"/>
        </w:rPr>
        <w:t>podmiotowy i przedmiotowy</w:t>
      </w:r>
      <w:r w:rsidR="00E80632" w:rsidRPr="005F79BE">
        <w:rPr>
          <w:rFonts w:ascii="Times New Roman" w:hAnsi="Times New Roman"/>
          <w:sz w:val="24"/>
          <w:szCs w:val="24"/>
        </w:rPr>
        <w:t>.</w:t>
      </w:r>
      <w:r w:rsidR="00DB2EB7">
        <w:rPr>
          <w:rFonts w:ascii="Times New Roman" w:hAnsi="Times New Roman"/>
          <w:sz w:val="24"/>
          <w:szCs w:val="24"/>
        </w:rPr>
        <w:t xml:space="preserve"> Poszczególne tematy realizowano zgodnie z opracowanymi przez Prezesa UOKiK</w:t>
      </w:r>
      <w:r w:rsidR="00E80632" w:rsidRPr="005F79BE">
        <w:rPr>
          <w:rFonts w:ascii="Times New Roman" w:hAnsi="Times New Roman"/>
          <w:sz w:val="24"/>
          <w:szCs w:val="24"/>
        </w:rPr>
        <w:t xml:space="preserve"> </w:t>
      </w:r>
      <w:r w:rsidR="00DB2EB7">
        <w:rPr>
          <w:rFonts w:ascii="Times New Roman" w:hAnsi="Times New Roman"/>
          <w:sz w:val="24"/>
          <w:szCs w:val="24"/>
        </w:rPr>
        <w:t>lub WIIH w Białymstoku programami kontroli.</w:t>
      </w:r>
      <w:r w:rsidR="00E153A5">
        <w:rPr>
          <w:rFonts w:ascii="Times New Roman" w:hAnsi="Times New Roman"/>
          <w:sz w:val="24"/>
          <w:szCs w:val="24"/>
        </w:rPr>
        <w:t xml:space="preserve"> Szczególną kategorią działań kontrolnych realizowaną przez WIIH w Białymstoku w 2022 roku były kontrole zlecone przez Prezesa UOKiK na podstawie art. 35 ust. 3 ustawy z dnia 16 lutego 2007 r. o ochronie </w:t>
      </w:r>
      <w:r w:rsidR="00E611F6">
        <w:rPr>
          <w:rFonts w:ascii="Times New Roman" w:hAnsi="Times New Roman"/>
          <w:sz w:val="24"/>
          <w:szCs w:val="24"/>
        </w:rPr>
        <w:t>konkurencji i konsumentów (</w:t>
      </w:r>
      <w:r w:rsidR="00DD6823">
        <w:rPr>
          <w:rFonts w:ascii="Times New Roman" w:hAnsi="Times New Roman"/>
          <w:sz w:val="24"/>
          <w:szCs w:val="24"/>
        </w:rPr>
        <w:t xml:space="preserve">tekst jednolity : </w:t>
      </w:r>
      <w:r w:rsidR="00E611F6">
        <w:rPr>
          <w:rFonts w:ascii="Times New Roman" w:hAnsi="Times New Roman"/>
          <w:sz w:val="24"/>
          <w:szCs w:val="24"/>
        </w:rPr>
        <w:t>Dz.U. z 2021 r. poz. 2021 ze zm.)</w:t>
      </w:r>
      <w:r w:rsidR="00DD6823">
        <w:rPr>
          <w:rFonts w:ascii="Times New Roman" w:hAnsi="Times New Roman"/>
          <w:sz w:val="24"/>
          <w:szCs w:val="24"/>
        </w:rPr>
        <w:t xml:space="preserve"> na potrzeby postępowań wszczętych przez Prezesa UOKiK w przedmiocie ochrony zbiorowych interesów konsumentów. </w:t>
      </w:r>
      <w:r w:rsidR="00E80632" w:rsidRPr="00DD6823">
        <w:rPr>
          <w:rFonts w:ascii="Times New Roman" w:hAnsi="Times New Roman"/>
        </w:rPr>
        <w:t>W 202</w:t>
      </w:r>
      <w:r w:rsidR="005F79BE" w:rsidRPr="00DD6823">
        <w:rPr>
          <w:rFonts w:ascii="Times New Roman" w:hAnsi="Times New Roman"/>
        </w:rPr>
        <w:t xml:space="preserve">2 </w:t>
      </w:r>
      <w:r w:rsidR="00E80632" w:rsidRPr="00DD6823">
        <w:rPr>
          <w:rFonts w:ascii="Times New Roman" w:hAnsi="Times New Roman"/>
        </w:rPr>
        <w:t xml:space="preserve">r. przeprowadzono łącznie </w:t>
      </w:r>
      <w:r w:rsidR="005F79BE" w:rsidRPr="00DD6823">
        <w:rPr>
          <w:rFonts w:ascii="Times New Roman" w:hAnsi="Times New Roman"/>
          <w:b/>
        </w:rPr>
        <w:t>1084</w:t>
      </w:r>
      <w:r w:rsidR="00E80632" w:rsidRPr="00DD6823">
        <w:rPr>
          <w:rFonts w:ascii="Times New Roman" w:hAnsi="Times New Roman"/>
          <w:b/>
        </w:rPr>
        <w:t xml:space="preserve"> kontrol</w:t>
      </w:r>
      <w:r w:rsidR="005F79BE" w:rsidRPr="00DD6823">
        <w:rPr>
          <w:rFonts w:ascii="Times New Roman" w:hAnsi="Times New Roman"/>
          <w:b/>
        </w:rPr>
        <w:t>e</w:t>
      </w:r>
      <w:r w:rsidR="00835C8A" w:rsidRPr="00DD6823">
        <w:rPr>
          <w:rFonts w:ascii="Times New Roman" w:hAnsi="Times New Roman"/>
          <w:b/>
        </w:rPr>
        <w:t xml:space="preserve"> </w:t>
      </w:r>
      <w:r w:rsidR="00835C8A" w:rsidRPr="00DD6823">
        <w:rPr>
          <w:rFonts w:ascii="Times New Roman" w:hAnsi="Times New Roman"/>
        </w:rPr>
        <w:t>(6</w:t>
      </w:r>
      <w:r w:rsidR="005F79BE" w:rsidRPr="00DD6823">
        <w:rPr>
          <w:rFonts w:ascii="Times New Roman" w:hAnsi="Times New Roman"/>
        </w:rPr>
        <w:t>71</w:t>
      </w:r>
      <w:r w:rsidR="00835C8A" w:rsidRPr="00DD6823">
        <w:rPr>
          <w:rFonts w:ascii="Times New Roman" w:hAnsi="Times New Roman"/>
        </w:rPr>
        <w:t xml:space="preserve"> w 202</w:t>
      </w:r>
      <w:r w:rsidR="005F79BE" w:rsidRPr="00DD6823">
        <w:rPr>
          <w:rFonts w:ascii="Times New Roman" w:hAnsi="Times New Roman"/>
        </w:rPr>
        <w:t>1</w:t>
      </w:r>
      <w:r w:rsidR="00835C8A" w:rsidRPr="00DD6823">
        <w:rPr>
          <w:rFonts w:ascii="Times New Roman" w:hAnsi="Times New Roman"/>
        </w:rPr>
        <w:t xml:space="preserve"> r.)</w:t>
      </w:r>
      <w:r w:rsidR="00E0118F" w:rsidRPr="00DD6823">
        <w:rPr>
          <w:rFonts w:ascii="Times New Roman" w:hAnsi="Times New Roman"/>
        </w:rPr>
        <w:t>,</w:t>
      </w:r>
      <w:r w:rsidR="000503D0" w:rsidRPr="00DD6823">
        <w:rPr>
          <w:rFonts w:ascii="Times New Roman" w:hAnsi="Times New Roman"/>
        </w:rPr>
        <w:t xml:space="preserve"> w tym na zlecenie Prezesa UOKiK</w:t>
      </w:r>
      <w:r w:rsidR="00DD6823">
        <w:rPr>
          <w:rFonts w:ascii="Times New Roman" w:hAnsi="Times New Roman"/>
        </w:rPr>
        <w:t xml:space="preserve"> w ww. trybie</w:t>
      </w:r>
      <w:r w:rsidR="00E153A5" w:rsidRPr="00DD6823">
        <w:rPr>
          <w:rFonts w:ascii="Times New Roman" w:hAnsi="Times New Roman"/>
        </w:rPr>
        <w:t xml:space="preserve"> – 339 kontroli</w:t>
      </w:r>
      <w:r w:rsidR="005F79BE" w:rsidRPr="00DD6823">
        <w:rPr>
          <w:rFonts w:ascii="Times New Roman" w:hAnsi="Times New Roman"/>
        </w:rPr>
        <w:t>.</w:t>
      </w:r>
      <w:r w:rsidR="000503D0" w:rsidRPr="00DD6823">
        <w:rPr>
          <w:rFonts w:ascii="Times New Roman" w:hAnsi="Times New Roman"/>
        </w:rPr>
        <w:t xml:space="preserve"> </w:t>
      </w:r>
    </w:p>
    <w:p w14:paraId="4C0C1318" w14:textId="7FAE4D5A" w:rsidR="005F79BE" w:rsidRDefault="00E23728" w:rsidP="005C0B3B">
      <w:pPr>
        <w:jc w:val="both"/>
      </w:pPr>
      <w:r w:rsidRPr="00E23728">
        <w:rPr>
          <w:noProof/>
        </w:rPr>
        <w:lastRenderedPageBreak/>
        <w:drawing>
          <wp:inline distT="0" distB="0" distL="0" distR="0" wp14:anchorId="758235D0" wp14:editId="2C814DBE">
            <wp:extent cx="5762625" cy="1552575"/>
            <wp:effectExtent l="0" t="0" r="9525" b="9525"/>
            <wp:docPr id="16" name="Wykres 16">
              <a:extLst xmlns:a="http://schemas.openxmlformats.org/drawingml/2006/main">
                <a:ext uri="{FF2B5EF4-FFF2-40B4-BE49-F238E27FC236}">
                  <a16:creationId xmlns:a16="http://schemas.microsoft.com/office/drawing/2014/main" id="{5559CEDF-BE9A-48B5-1831-3ED6E84B6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DA6E2E" w14:textId="77777777" w:rsidR="000C5C3B" w:rsidRPr="00E23728" w:rsidRDefault="000C5C3B" w:rsidP="005C0B3B">
      <w:pPr>
        <w:jc w:val="both"/>
      </w:pPr>
    </w:p>
    <w:p w14:paraId="14280C5F" w14:textId="3435D688" w:rsidR="006D71B7" w:rsidRPr="005F79BE" w:rsidRDefault="000503D0" w:rsidP="005C0B3B">
      <w:pPr>
        <w:spacing w:after="120"/>
        <w:jc w:val="both"/>
      </w:pPr>
      <w:r w:rsidRPr="005F79BE">
        <w:t>P</w:t>
      </w:r>
      <w:r w:rsidR="00E0118F" w:rsidRPr="005F79BE">
        <w:t>onadto p</w:t>
      </w:r>
      <w:r w:rsidR="00F01385" w:rsidRPr="005F79BE">
        <w:t>odejmowano dodatkowe działania</w:t>
      </w:r>
      <w:r w:rsidR="00447389">
        <w:t xml:space="preserve"> o charakterze </w:t>
      </w:r>
      <w:proofErr w:type="spellStart"/>
      <w:r w:rsidR="00447389">
        <w:t>pozakontrolnym</w:t>
      </w:r>
      <w:proofErr w:type="spellEnd"/>
      <w:r w:rsidR="00F01385" w:rsidRPr="005F79BE">
        <w:t>, mianowicie:</w:t>
      </w:r>
    </w:p>
    <w:p w14:paraId="5AF08ECB" w14:textId="77777777" w:rsidR="005F79BE" w:rsidRPr="005F79BE" w:rsidRDefault="005F79BE" w:rsidP="005C0B3B">
      <w:pPr>
        <w:pStyle w:val="Akapitzlist"/>
        <w:numPr>
          <w:ilvl w:val="0"/>
          <w:numId w:val="28"/>
        </w:numPr>
        <w:spacing w:after="120" w:line="240" w:lineRule="auto"/>
        <w:ind w:left="709" w:hanging="349"/>
        <w:jc w:val="both"/>
        <w:rPr>
          <w:rFonts w:ascii="Times New Roman" w:eastAsia="Times New Roman" w:hAnsi="Times New Roman"/>
          <w:sz w:val="24"/>
          <w:szCs w:val="24"/>
        </w:rPr>
      </w:pPr>
      <w:r w:rsidRPr="005F79BE">
        <w:rPr>
          <w:rFonts w:ascii="Times New Roman" w:eastAsia="Times New Roman" w:hAnsi="Times New Roman"/>
          <w:sz w:val="24"/>
          <w:szCs w:val="24"/>
        </w:rPr>
        <w:t>na zlecenie Prezesa UOKiK prowadzono:</w:t>
      </w:r>
    </w:p>
    <w:p w14:paraId="59A2E793" w14:textId="77777777" w:rsidR="005F79BE" w:rsidRDefault="005F79BE" w:rsidP="005C0B3B">
      <w:pPr>
        <w:pStyle w:val="Akapitzlist"/>
        <w:numPr>
          <w:ilvl w:val="0"/>
          <w:numId w:val="29"/>
        </w:numPr>
        <w:spacing w:after="0" w:line="240" w:lineRule="auto"/>
        <w:ind w:left="1134" w:hanging="352"/>
        <w:jc w:val="both"/>
        <w:rPr>
          <w:rFonts w:ascii="Times New Roman" w:eastAsia="Times New Roman" w:hAnsi="Times New Roman"/>
          <w:sz w:val="24"/>
          <w:szCs w:val="24"/>
        </w:rPr>
      </w:pPr>
      <w:r w:rsidRPr="005F79BE">
        <w:rPr>
          <w:rFonts w:ascii="Times New Roman" w:eastAsia="Times New Roman" w:hAnsi="Times New Roman"/>
          <w:sz w:val="24"/>
          <w:szCs w:val="24"/>
        </w:rPr>
        <w:t xml:space="preserve">cotygodniowy monitoring cen wybranych artykułów spożywczych (w związku </w:t>
      </w:r>
      <w:r w:rsidRPr="005F79BE">
        <w:rPr>
          <w:rFonts w:ascii="Times New Roman" w:eastAsia="Times New Roman" w:hAnsi="Times New Roman"/>
          <w:sz w:val="24"/>
          <w:szCs w:val="24"/>
        </w:rPr>
        <w:br/>
        <w:t>z obniżką VAT) w okresie niespełna dwóch miesięcy w 13 placówkach handlowych,</w:t>
      </w:r>
    </w:p>
    <w:p w14:paraId="42794E4D" w14:textId="35B3D3BF" w:rsidR="00DD6823" w:rsidRPr="005F79BE" w:rsidRDefault="00DD6823" w:rsidP="005C0B3B">
      <w:pPr>
        <w:pStyle w:val="Akapitzlist"/>
        <w:numPr>
          <w:ilvl w:val="0"/>
          <w:numId w:val="29"/>
        </w:numPr>
        <w:spacing w:after="0" w:line="240" w:lineRule="auto"/>
        <w:ind w:left="1134" w:hanging="352"/>
        <w:jc w:val="both"/>
        <w:rPr>
          <w:rFonts w:ascii="Times New Roman" w:eastAsia="Times New Roman" w:hAnsi="Times New Roman"/>
          <w:sz w:val="24"/>
          <w:szCs w:val="24"/>
        </w:rPr>
      </w:pPr>
      <w:r>
        <w:rPr>
          <w:rFonts w:ascii="Times New Roman" w:eastAsia="Times New Roman" w:hAnsi="Times New Roman"/>
          <w:sz w:val="24"/>
          <w:szCs w:val="24"/>
        </w:rPr>
        <w:t>dwukrotnie w każdym tygodniu przez okres I kwartału 2022 roku monitoring cen paliw ciekłych na stacjach paliw na terenie województwa podlaskiego,</w:t>
      </w:r>
    </w:p>
    <w:p w14:paraId="599AC678" w14:textId="55AFA176" w:rsidR="005F79BE" w:rsidRPr="005F79BE" w:rsidRDefault="005F79BE" w:rsidP="005C0B3B">
      <w:pPr>
        <w:pStyle w:val="Akapitzlist"/>
        <w:numPr>
          <w:ilvl w:val="0"/>
          <w:numId w:val="29"/>
        </w:numPr>
        <w:spacing w:after="120" w:line="240" w:lineRule="auto"/>
        <w:ind w:left="1134" w:hanging="352"/>
        <w:jc w:val="both"/>
        <w:rPr>
          <w:rFonts w:ascii="Times New Roman" w:eastAsia="Times New Roman" w:hAnsi="Times New Roman"/>
          <w:sz w:val="24"/>
          <w:szCs w:val="24"/>
        </w:rPr>
      </w:pPr>
      <w:r w:rsidRPr="005F79BE">
        <w:rPr>
          <w:rFonts w:ascii="Times New Roman" w:eastAsia="Times New Roman" w:hAnsi="Times New Roman"/>
          <w:sz w:val="24"/>
          <w:szCs w:val="24"/>
        </w:rPr>
        <w:t>rozeznanie rynku w zakresie podwójnej jakości produktów (sprawdzenie występowania różnic</w:t>
      </w:r>
      <w:r w:rsidR="0089037F">
        <w:rPr>
          <w:rFonts w:ascii="Times New Roman" w:eastAsia="Times New Roman" w:hAnsi="Times New Roman"/>
          <w:sz w:val="24"/>
          <w:szCs w:val="24"/>
        </w:rPr>
        <w:t xml:space="preserve"> deklaracji</w:t>
      </w:r>
      <w:r w:rsidRPr="005F79BE">
        <w:rPr>
          <w:rFonts w:ascii="Times New Roman" w:eastAsia="Times New Roman" w:hAnsi="Times New Roman"/>
          <w:sz w:val="24"/>
          <w:szCs w:val="24"/>
        </w:rPr>
        <w:t xml:space="preserve"> jakościowych w produktach chemii gospodarczej i kosmetykach oferowanych na rynkach państw członkowskich).</w:t>
      </w:r>
    </w:p>
    <w:p w14:paraId="17554FBC" w14:textId="644F791F" w:rsidR="008374A9" w:rsidRDefault="00E611F6" w:rsidP="005C0B3B">
      <w:pPr>
        <w:pStyle w:val="Akapitzlist"/>
        <w:widowControl w:val="0"/>
        <w:numPr>
          <w:ilvl w:val="0"/>
          <w:numId w:val="22"/>
        </w:numPr>
        <w:autoSpaceDE w:val="0"/>
        <w:autoSpaceDN w:val="0"/>
        <w:adjustRightInd w:val="0"/>
        <w:spacing w:after="120" w:line="240" w:lineRule="auto"/>
        <w:ind w:left="709" w:hanging="352"/>
        <w:jc w:val="both"/>
        <w:rPr>
          <w:rFonts w:ascii="Times New Roman" w:hAnsi="Times New Roman"/>
          <w:sz w:val="24"/>
          <w:szCs w:val="24"/>
        </w:rPr>
      </w:pPr>
      <w:r w:rsidRPr="00447389">
        <w:rPr>
          <w:rFonts w:ascii="Times New Roman" w:hAnsi="Times New Roman"/>
          <w:bCs/>
          <w:sz w:val="24"/>
          <w:szCs w:val="24"/>
        </w:rPr>
        <w:t xml:space="preserve">obsługa </w:t>
      </w:r>
      <w:r w:rsidR="008924E7" w:rsidRPr="00447389">
        <w:rPr>
          <w:rFonts w:ascii="Times New Roman" w:hAnsi="Times New Roman"/>
          <w:bCs/>
          <w:sz w:val="24"/>
          <w:szCs w:val="24"/>
        </w:rPr>
        <w:t>system</w:t>
      </w:r>
      <w:r w:rsidRPr="00447389">
        <w:rPr>
          <w:rFonts w:ascii="Times New Roman" w:hAnsi="Times New Roman"/>
          <w:bCs/>
          <w:sz w:val="24"/>
          <w:szCs w:val="24"/>
        </w:rPr>
        <w:t>u</w:t>
      </w:r>
      <w:r w:rsidR="008924E7" w:rsidRPr="005F79BE">
        <w:rPr>
          <w:rFonts w:ascii="Times New Roman" w:hAnsi="Times New Roman"/>
          <w:b/>
          <w:bCs/>
          <w:sz w:val="24"/>
          <w:szCs w:val="24"/>
        </w:rPr>
        <w:t xml:space="preserve"> ICSMS</w:t>
      </w:r>
      <w:r w:rsidR="007645AB" w:rsidRPr="005F79BE">
        <w:rPr>
          <w:rFonts w:ascii="Times New Roman" w:hAnsi="Times New Roman"/>
          <w:b/>
          <w:bCs/>
          <w:sz w:val="24"/>
          <w:szCs w:val="24"/>
        </w:rPr>
        <w:t>,</w:t>
      </w:r>
      <w:r w:rsidR="00447389">
        <w:rPr>
          <w:rFonts w:ascii="Times New Roman" w:hAnsi="Times New Roman"/>
          <w:sz w:val="24"/>
          <w:szCs w:val="24"/>
        </w:rPr>
        <w:t xml:space="preserve"> służącego</w:t>
      </w:r>
      <w:r w:rsidR="008924E7" w:rsidRPr="005F79BE">
        <w:rPr>
          <w:rFonts w:ascii="Times New Roman" w:hAnsi="Times New Roman"/>
          <w:sz w:val="24"/>
          <w:szCs w:val="24"/>
        </w:rPr>
        <w:t xml:space="preserve"> do wymiany przez właściwe organy</w:t>
      </w:r>
      <w:r w:rsidR="007645AB" w:rsidRPr="005F79BE">
        <w:rPr>
          <w:rFonts w:ascii="Times New Roman" w:hAnsi="Times New Roman"/>
          <w:sz w:val="24"/>
          <w:szCs w:val="24"/>
        </w:rPr>
        <w:t xml:space="preserve"> nadzoru rynku</w:t>
      </w:r>
      <w:r w:rsidR="008924E7" w:rsidRPr="005F79BE">
        <w:rPr>
          <w:rFonts w:ascii="Times New Roman" w:hAnsi="Times New Roman"/>
          <w:sz w:val="24"/>
          <w:szCs w:val="24"/>
        </w:rPr>
        <w:t xml:space="preserve"> w krajach członkowskich UE informacji o pro</w:t>
      </w:r>
      <w:r w:rsidR="007645AB" w:rsidRPr="005F79BE">
        <w:rPr>
          <w:rFonts w:ascii="Times New Roman" w:hAnsi="Times New Roman"/>
          <w:sz w:val="24"/>
          <w:szCs w:val="24"/>
        </w:rPr>
        <w:t>duktach niespełniających wymagań dyrektyw UE</w:t>
      </w:r>
      <w:r w:rsidR="008924E7" w:rsidRPr="005F79BE">
        <w:rPr>
          <w:rFonts w:ascii="Times New Roman" w:hAnsi="Times New Roman"/>
          <w:sz w:val="24"/>
          <w:szCs w:val="24"/>
        </w:rPr>
        <w:t>, wynikach</w:t>
      </w:r>
      <w:r w:rsidR="007645AB" w:rsidRPr="005F79BE">
        <w:rPr>
          <w:rFonts w:ascii="Times New Roman" w:hAnsi="Times New Roman"/>
          <w:sz w:val="24"/>
          <w:szCs w:val="24"/>
        </w:rPr>
        <w:t xml:space="preserve"> kontroli </w:t>
      </w:r>
      <w:r w:rsidR="008924E7" w:rsidRPr="005F79BE">
        <w:rPr>
          <w:rFonts w:ascii="Times New Roman" w:hAnsi="Times New Roman"/>
          <w:sz w:val="24"/>
          <w:szCs w:val="24"/>
        </w:rPr>
        <w:t xml:space="preserve"> i</w:t>
      </w:r>
      <w:r w:rsidR="007645AB" w:rsidRPr="005F79BE">
        <w:rPr>
          <w:rFonts w:ascii="Times New Roman" w:hAnsi="Times New Roman"/>
          <w:sz w:val="24"/>
          <w:szCs w:val="24"/>
        </w:rPr>
        <w:t xml:space="preserve">  podjętych działaniach</w:t>
      </w:r>
      <w:r w:rsidR="005F79BE">
        <w:rPr>
          <w:rFonts w:ascii="Times New Roman" w:hAnsi="Times New Roman"/>
          <w:sz w:val="24"/>
          <w:szCs w:val="24"/>
        </w:rPr>
        <w:t>,</w:t>
      </w:r>
    </w:p>
    <w:p w14:paraId="38643F6E" w14:textId="7F2DB153" w:rsidR="005F79BE" w:rsidRPr="005F79BE" w:rsidRDefault="005F79BE" w:rsidP="005C0B3B">
      <w:pPr>
        <w:pStyle w:val="Akapitzlist"/>
        <w:widowControl w:val="0"/>
        <w:numPr>
          <w:ilvl w:val="0"/>
          <w:numId w:val="22"/>
        </w:numPr>
        <w:autoSpaceDE w:val="0"/>
        <w:autoSpaceDN w:val="0"/>
        <w:adjustRightInd w:val="0"/>
        <w:spacing w:after="0" w:line="240" w:lineRule="auto"/>
        <w:ind w:left="709" w:hanging="349"/>
        <w:jc w:val="both"/>
        <w:rPr>
          <w:rFonts w:ascii="Times New Roman" w:hAnsi="Times New Roman"/>
          <w:sz w:val="24"/>
          <w:szCs w:val="24"/>
        </w:rPr>
      </w:pPr>
      <w:r w:rsidRPr="00B903C0">
        <w:rPr>
          <w:rFonts w:ascii="Times New Roman" w:hAnsi="Times New Roman"/>
          <w:sz w:val="24"/>
          <w:szCs w:val="24"/>
        </w:rPr>
        <w:t xml:space="preserve"> na wniosek organów celno-</w:t>
      </w:r>
      <w:r w:rsidRPr="005F79BE">
        <w:rPr>
          <w:rFonts w:ascii="Times New Roman" w:hAnsi="Times New Roman"/>
          <w:sz w:val="24"/>
          <w:szCs w:val="24"/>
        </w:rPr>
        <w:t>skarbowych</w:t>
      </w:r>
      <w:r w:rsidR="00DD6823">
        <w:rPr>
          <w:rFonts w:ascii="Times New Roman" w:hAnsi="Times New Roman"/>
          <w:sz w:val="24"/>
          <w:szCs w:val="24"/>
        </w:rPr>
        <w:t xml:space="preserve"> sporządzano</w:t>
      </w:r>
      <w:r w:rsidRPr="005F79BE">
        <w:rPr>
          <w:rFonts w:ascii="Times New Roman" w:hAnsi="Times New Roman"/>
          <w:sz w:val="24"/>
          <w:szCs w:val="24"/>
        </w:rPr>
        <w:t xml:space="preserve"> </w:t>
      </w:r>
      <w:r w:rsidR="00CB6FBB">
        <w:rPr>
          <w:rFonts w:ascii="Times New Roman" w:hAnsi="Times New Roman"/>
          <w:sz w:val="24"/>
          <w:szCs w:val="24"/>
        </w:rPr>
        <w:t>opinie</w:t>
      </w:r>
      <w:r w:rsidRPr="005F79BE">
        <w:rPr>
          <w:rFonts w:ascii="Times New Roman" w:hAnsi="Times New Roman"/>
          <w:sz w:val="24"/>
          <w:szCs w:val="24"/>
        </w:rPr>
        <w:t xml:space="preserve"> dotycząc</w:t>
      </w:r>
      <w:r w:rsidR="00CB6FBB">
        <w:rPr>
          <w:rFonts w:ascii="Times New Roman" w:hAnsi="Times New Roman"/>
          <w:sz w:val="24"/>
          <w:szCs w:val="24"/>
        </w:rPr>
        <w:t>e</w:t>
      </w:r>
      <w:r w:rsidRPr="00B903C0">
        <w:rPr>
          <w:rFonts w:ascii="Times New Roman" w:hAnsi="Times New Roman"/>
          <w:sz w:val="24"/>
          <w:szCs w:val="24"/>
        </w:rPr>
        <w:t xml:space="preserve"> zgodności produktów importowanych na obszar UE z obowiązującymi przepisami</w:t>
      </w:r>
      <w:r>
        <w:rPr>
          <w:rFonts w:ascii="Times New Roman" w:hAnsi="Times New Roman"/>
          <w:sz w:val="24"/>
          <w:szCs w:val="24"/>
        </w:rPr>
        <w:t>.</w:t>
      </w:r>
    </w:p>
    <w:p w14:paraId="6D6A619B" w14:textId="77777777" w:rsidR="00F01385" w:rsidRPr="001D077D" w:rsidRDefault="00F01385" w:rsidP="00856DF7">
      <w:pPr>
        <w:jc w:val="both"/>
      </w:pPr>
    </w:p>
    <w:p w14:paraId="08625AE5" w14:textId="77777777" w:rsidR="00E80632" w:rsidRPr="00A0065F" w:rsidRDefault="00E80632" w:rsidP="00F377D9">
      <w:pPr>
        <w:pStyle w:val="Akapitzlist"/>
        <w:numPr>
          <w:ilvl w:val="0"/>
          <w:numId w:val="4"/>
        </w:numPr>
        <w:spacing w:after="0" w:line="240" w:lineRule="auto"/>
        <w:jc w:val="both"/>
        <w:rPr>
          <w:rFonts w:ascii="Times New Roman" w:hAnsi="Times New Roman"/>
          <w:b/>
          <w:sz w:val="28"/>
          <w:szCs w:val="28"/>
        </w:rPr>
      </w:pPr>
      <w:r w:rsidRPr="00A0065F">
        <w:rPr>
          <w:rFonts w:ascii="Times New Roman" w:hAnsi="Times New Roman"/>
          <w:b/>
          <w:sz w:val="28"/>
          <w:szCs w:val="28"/>
        </w:rPr>
        <w:t>Kryteria doboru tematów i podmiotów będących przedmiotem działań kontrolnych.</w:t>
      </w:r>
    </w:p>
    <w:p w14:paraId="4045C5BA" w14:textId="77777777" w:rsidR="00E80632" w:rsidRPr="00200CE0" w:rsidRDefault="00E80632" w:rsidP="00F377D9">
      <w:pPr>
        <w:pStyle w:val="Akapitzlist"/>
        <w:spacing w:after="0" w:line="240" w:lineRule="auto"/>
        <w:ind w:left="360"/>
        <w:jc w:val="both"/>
        <w:rPr>
          <w:rFonts w:ascii="Times New Roman" w:hAnsi="Times New Roman"/>
          <w:b/>
          <w:sz w:val="24"/>
          <w:szCs w:val="24"/>
        </w:rPr>
      </w:pPr>
    </w:p>
    <w:p w14:paraId="4FBF55CC" w14:textId="77777777" w:rsidR="00E80632" w:rsidRPr="003510BE" w:rsidRDefault="00E80632" w:rsidP="00F377D9">
      <w:pPr>
        <w:jc w:val="both"/>
      </w:pPr>
      <w:r w:rsidRPr="003510BE">
        <w:t>Podstawowym narzędziem wykorzystywanym do doboru:</w:t>
      </w:r>
    </w:p>
    <w:p w14:paraId="7A4B5C28" w14:textId="325FAFF0" w:rsidR="00E80632" w:rsidRPr="007F5635" w:rsidRDefault="00E80632" w:rsidP="00CB6FBB">
      <w:pPr>
        <w:pStyle w:val="Akapitzlist"/>
        <w:numPr>
          <w:ilvl w:val="0"/>
          <w:numId w:val="5"/>
        </w:numPr>
        <w:spacing w:after="0" w:line="240" w:lineRule="auto"/>
        <w:ind w:left="709" w:hanging="357"/>
        <w:jc w:val="both"/>
        <w:rPr>
          <w:rFonts w:ascii="Times New Roman" w:hAnsi="Times New Roman"/>
          <w:sz w:val="24"/>
          <w:szCs w:val="24"/>
        </w:rPr>
      </w:pPr>
      <w:r w:rsidRPr="007F5635">
        <w:rPr>
          <w:rFonts w:ascii="Times New Roman" w:hAnsi="Times New Roman"/>
          <w:sz w:val="24"/>
          <w:szCs w:val="24"/>
        </w:rPr>
        <w:t>podmiotów, w których przeprowadzano kontrole</w:t>
      </w:r>
      <w:r w:rsidR="00184812">
        <w:rPr>
          <w:rFonts w:ascii="Times New Roman" w:hAnsi="Times New Roman"/>
          <w:sz w:val="24"/>
          <w:szCs w:val="24"/>
        </w:rPr>
        <w:t xml:space="preserve"> w zakresie</w:t>
      </w:r>
      <w:r w:rsidRPr="007F5635">
        <w:rPr>
          <w:rFonts w:ascii="Times New Roman" w:hAnsi="Times New Roman"/>
          <w:sz w:val="24"/>
          <w:szCs w:val="24"/>
        </w:rPr>
        <w:t xml:space="preserve"> tematów zleconych przez Prezesa UOKiK (z wyłączeniem kontroli paliw, gdzie zlecenia zawierały również wskazanie konkretnych podmiotów),</w:t>
      </w:r>
    </w:p>
    <w:p w14:paraId="45704F83" w14:textId="775EFF34" w:rsidR="007F5635" w:rsidRDefault="00E80632" w:rsidP="00CB6FBB">
      <w:pPr>
        <w:pStyle w:val="Akapitzlist"/>
        <w:numPr>
          <w:ilvl w:val="0"/>
          <w:numId w:val="5"/>
        </w:numPr>
        <w:spacing w:after="0" w:line="240" w:lineRule="auto"/>
        <w:ind w:left="709" w:hanging="357"/>
        <w:jc w:val="both"/>
        <w:rPr>
          <w:rFonts w:ascii="Times New Roman" w:hAnsi="Times New Roman"/>
          <w:sz w:val="24"/>
          <w:szCs w:val="24"/>
        </w:rPr>
      </w:pPr>
      <w:r w:rsidRPr="003510BE">
        <w:rPr>
          <w:rFonts w:ascii="Times New Roman" w:hAnsi="Times New Roman"/>
          <w:sz w:val="24"/>
          <w:szCs w:val="24"/>
        </w:rPr>
        <w:t>tematów i podmiotów w ramach kontroli własnych</w:t>
      </w:r>
      <w:r>
        <w:rPr>
          <w:rFonts w:ascii="Times New Roman" w:hAnsi="Times New Roman"/>
          <w:sz w:val="24"/>
          <w:szCs w:val="24"/>
        </w:rPr>
        <w:t>,</w:t>
      </w:r>
      <w:r w:rsidR="00121354">
        <w:rPr>
          <w:rFonts w:ascii="Times New Roman" w:hAnsi="Times New Roman"/>
          <w:sz w:val="24"/>
          <w:szCs w:val="24"/>
        </w:rPr>
        <w:t xml:space="preserve"> </w:t>
      </w:r>
    </w:p>
    <w:p w14:paraId="1DD9F011" w14:textId="77777777" w:rsidR="00855286" w:rsidRPr="005F79BE" w:rsidRDefault="00855286" w:rsidP="00855286">
      <w:pPr>
        <w:pStyle w:val="Akapitzlist"/>
        <w:spacing w:after="0" w:line="240" w:lineRule="auto"/>
        <w:ind w:left="709"/>
        <w:jc w:val="both"/>
        <w:rPr>
          <w:rFonts w:ascii="Times New Roman" w:hAnsi="Times New Roman"/>
          <w:sz w:val="24"/>
          <w:szCs w:val="24"/>
        </w:rPr>
      </w:pPr>
    </w:p>
    <w:p w14:paraId="0CE6568D" w14:textId="2B13E91D" w:rsidR="00E80632" w:rsidRPr="007F5635" w:rsidRDefault="00E80632" w:rsidP="007F5635">
      <w:pPr>
        <w:jc w:val="both"/>
      </w:pPr>
      <w:r w:rsidRPr="007F5635">
        <w:t>była analiza ryzyka wystąpienia nieprawidłowości uwzględniająca problemy i zagrożenia identyfikowane w trakcie działalności w okresach wcześniejszych jak i w pracy bieżącej</w:t>
      </w:r>
      <w:r w:rsidR="000503D0">
        <w:t xml:space="preserve"> ( m in. informacje przekazywane przez konsumentów)</w:t>
      </w:r>
      <w:r w:rsidRPr="007F5635">
        <w:t>.</w:t>
      </w:r>
    </w:p>
    <w:p w14:paraId="2296A708" w14:textId="56DA60AD" w:rsidR="008A4BD3" w:rsidRPr="003510BE" w:rsidRDefault="008A4BD3" w:rsidP="00856DF7">
      <w:pPr>
        <w:pStyle w:val="Akapitzlist"/>
        <w:spacing w:after="0" w:line="240" w:lineRule="auto"/>
        <w:ind w:left="357"/>
        <w:jc w:val="both"/>
        <w:rPr>
          <w:rFonts w:ascii="Times New Roman" w:hAnsi="Times New Roman"/>
          <w:sz w:val="24"/>
          <w:szCs w:val="24"/>
        </w:rPr>
      </w:pPr>
    </w:p>
    <w:p w14:paraId="7B930D60" w14:textId="42947B38" w:rsidR="00E80632" w:rsidRPr="00A0065F" w:rsidRDefault="00E80632" w:rsidP="00FE2F70">
      <w:pPr>
        <w:pStyle w:val="Akapitzlist"/>
        <w:numPr>
          <w:ilvl w:val="0"/>
          <w:numId w:val="4"/>
        </w:numPr>
        <w:spacing w:after="240" w:line="240" w:lineRule="auto"/>
        <w:ind w:left="357" w:hanging="357"/>
        <w:jc w:val="both"/>
        <w:rPr>
          <w:rFonts w:ascii="Times New Roman" w:hAnsi="Times New Roman"/>
          <w:b/>
          <w:bCs/>
          <w:sz w:val="28"/>
          <w:szCs w:val="28"/>
        </w:rPr>
      </w:pPr>
      <w:r w:rsidRPr="00A0065F">
        <w:rPr>
          <w:rFonts w:ascii="Times New Roman" w:hAnsi="Times New Roman"/>
          <w:b/>
          <w:bCs/>
          <w:sz w:val="28"/>
          <w:szCs w:val="28"/>
        </w:rPr>
        <w:t xml:space="preserve">Podstawowe dane statystyczne charakteryzujące działalność kontrolną Inspektoratu. </w:t>
      </w:r>
    </w:p>
    <w:p w14:paraId="4E220441" w14:textId="1062322E" w:rsidR="00E80632" w:rsidRPr="00A13922" w:rsidRDefault="00E80632" w:rsidP="00CB6FBB">
      <w:pPr>
        <w:spacing w:after="120"/>
        <w:jc w:val="both"/>
      </w:pPr>
      <w:r w:rsidRPr="00A13922">
        <w:t>W 202</w:t>
      </w:r>
      <w:r w:rsidR="00C4577C" w:rsidRPr="00A13922">
        <w:t>2</w:t>
      </w:r>
      <w:r w:rsidRPr="00A13922">
        <w:t xml:space="preserve"> r.:</w:t>
      </w:r>
    </w:p>
    <w:p w14:paraId="0A0A1293" w14:textId="0E4D4373" w:rsidR="00E80632" w:rsidRPr="00A13922" w:rsidRDefault="00E80632" w:rsidP="00F377D9">
      <w:pPr>
        <w:pStyle w:val="Akapitzlist"/>
        <w:numPr>
          <w:ilvl w:val="0"/>
          <w:numId w:val="6"/>
        </w:numPr>
        <w:spacing w:after="0" w:line="240" w:lineRule="auto"/>
        <w:ind w:left="567" w:hanging="357"/>
        <w:jc w:val="both"/>
      </w:pPr>
      <w:r w:rsidRPr="00A13922">
        <w:rPr>
          <w:rFonts w:ascii="Times New Roman" w:hAnsi="Times New Roman"/>
          <w:sz w:val="24"/>
          <w:szCs w:val="24"/>
        </w:rPr>
        <w:t xml:space="preserve">przeprowadzono </w:t>
      </w:r>
      <w:r w:rsidR="00C4577C" w:rsidRPr="00A13922">
        <w:rPr>
          <w:rFonts w:ascii="Times New Roman" w:hAnsi="Times New Roman"/>
          <w:b/>
          <w:sz w:val="24"/>
          <w:szCs w:val="24"/>
        </w:rPr>
        <w:t xml:space="preserve">1084 </w:t>
      </w:r>
      <w:r w:rsidRPr="00A13922">
        <w:rPr>
          <w:rFonts w:ascii="Times New Roman" w:hAnsi="Times New Roman"/>
          <w:b/>
          <w:sz w:val="24"/>
          <w:szCs w:val="24"/>
        </w:rPr>
        <w:t>kontroli</w:t>
      </w:r>
      <w:r w:rsidR="00C60FEA" w:rsidRPr="00A13922">
        <w:rPr>
          <w:rFonts w:ascii="Times New Roman" w:hAnsi="Times New Roman"/>
          <w:sz w:val="24"/>
          <w:szCs w:val="24"/>
        </w:rPr>
        <w:t>,</w:t>
      </w:r>
      <w:r w:rsidR="00E0118F" w:rsidRPr="00A13922">
        <w:rPr>
          <w:rFonts w:ascii="Times New Roman" w:hAnsi="Times New Roman"/>
          <w:sz w:val="24"/>
          <w:szCs w:val="24"/>
        </w:rPr>
        <w:t xml:space="preserve"> </w:t>
      </w:r>
    </w:p>
    <w:p w14:paraId="3F774687" w14:textId="796BA6A2" w:rsidR="00E80632" w:rsidRPr="00120370" w:rsidRDefault="00E80632" w:rsidP="00F377D9">
      <w:pPr>
        <w:pStyle w:val="Akapitzlist"/>
        <w:numPr>
          <w:ilvl w:val="0"/>
          <w:numId w:val="6"/>
        </w:numPr>
        <w:spacing w:after="0" w:line="240" w:lineRule="auto"/>
        <w:ind w:left="567" w:hanging="357"/>
        <w:jc w:val="both"/>
      </w:pPr>
      <w:r w:rsidRPr="00A13922">
        <w:rPr>
          <w:rFonts w:ascii="Times New Roman" w:hAnsi="Times New Roman"/>
          <w:sz w:val="24"/>
          <w:szCs w:val="24"/>
        </w:rPr>
        <w:t xml:space="preserve">sprawdzeniem </w:t>
      </w:r>
      <w:r w:rsidRPr="00734ED5">
        <w:rPr>
          <w:rFonts w:ascii="Times New Roman" w:hAnsi="Times New Roman"/>
          <w:sz w:val="24"/>
          <w:szCs w:val="24"/>
        </w:rPr>
        <w:t xml:space="preserve">objęto </w:t>
      </w:r>
      <w:r w:rsidR="00C4577C">
        <w:rPr>
          <w:rFonts w:ascii="Times New Roman" w:hAnsi="Times New Roman"/>
          <w:b/>
          <w:sz w:val="24"/>
          <w:szCs w:val="24"/>
        </w:rPr>
        <w:t xml:space="preserve">37077 </w:t>
      </w:r>
      <w:r w:rsidRPr="00632949">
        <w:rPr>
          <w:rFonts w:ascii="Times New Roman" w:hAnsi="Times New Roman"/>
          <w:b/>
          <w:sz w:val="24"/>
          <w:szCs w:val="24"/>
        </w:rPr>
        <w:t>partii wyrobów</w:t>
      </w:r>
      <w:r w:rsidR="006145BB" w:rsidRPr="00734ED5">
        <w:rPr>
          <w:rFonts w:ascii="Times New Roman" w:hAnsi="Times New Roman"/>
          <w:sz w:val="24"/>
          <w:szCs w:val="24"/>
        </w:rPr>
        <w:t>,</w:t>
      </w:r>
      <w:r w:rsidRPr="00734ED5">
        <w:rPr>
          <w:rFonts w:ascii="Times New Roman" w:hAnsi="Times New Roman"/>
          <w:sz w:val="24"/>
          <w:szCs w:val="24"/>
        </w:rPr>
        <w:t xml:space="preserve"> </w:t>
      </w:r>
      <w:r w:rsidR="006145BB" w:rsidRPr="00734ED5">
        <w:rPr>
          <w:rFonts w:ascii="Times New Roman" w:hAnsi="Times New Roman"/>
          <w:sz w:val="24"/>
          <w:szCs w:val="24"/>
        </w:rPr>
        <w:t xml:space="preserve">zakwestionowano </w:t>
      </w:r>
      <w:r w:rsidR="00C4577C">
        <w:rPr>
          <w:rFonts w:ascii="Times New Roman" w:hAnsi="Times New Roman"/>
          <w:b/>
          <w:sz w:val="24"/>
          <w:szCs w:val="24"/>
        </w:rPr>
        <w:t>5505</w:t>
      </w:r>
      <w:r w:rsidR="006145BB" w:rsidRPr="00632949">
        <w:rPr>
          <w:rFonts w:ascii="Times New Roman" w:hAnsi="Times New Roman"/>
          <w:b/>
          <w:sz w:val="24"/>
          <w:szCs w:val="24"/>
        </w:rPr>
        <w:t xml:space="preserve"> partii</w:t>
      </w:r>
      <w:r w:rsidR="006145BB" w:rsidRPr="00734ED5">
        <w:rPr>
          <w:rFonts w:ascii="Times New Roman" w:hAnsi="Times New Roman"/>
          <w:sz w:val="24"/>
          <w:szCs w:val="24"/>
        </w:rPr>
        <w:t>, tj. 1</w:t>
      </w:r>
      <w:r w:rsidR="00C4577C">
        <w:rPr>
          <w:rFonts w:ascii="Times New Roman" w:hAnsi="Times New Roman"/>
          <w:sz w:val="24"/>
          <w:szCs w:val="24"/>
        </w:rPr>
        <w:t>5</w:t>
      </w:r>
      <w:r w:rsidRPr="00734ED5">
        <w:rPr>
          <w:rFonts w:ascii="Times New Roman" w:hAnsi="Times New Roman"/>
          <w:sz w:val="24"/>
          <w:szCs w:val="24"/>
        </w:rPr>
        <w:t>%</w:t>
      </w:r>
      <w:r w:rsidR="00734ED5" w:rsidRPr="00734ED5">
        <w:rPr>
          <w:rFonts w:ascii="Times New Roman" w:hAnsi="Times New Roman"/>
          <w:sz w:val="24"/>
          <w:szCs w:val="24"/>
        </w:rPr>
        <w:t xml:space="preserve">; </w:t>
      </w:r>
      <w:r w:rsidR="006145BB" w:rsidRPr="00734ED5">
        <w:rPr>
          <w:rFonts w:ascii="Times New Roman" w:hAnsi="Times New Roman"/>
          <w:sz w:val="24"/>
          <w:szCs w:val="24"/>
        </w:rPr>
        <w:t xml:space="preserve"> </w:t>
      </w:r>
      <w:r w:rsidR="00C4577C">
        <w:rPr>
          <w:rFonts w:ascii="Times New Roman" w:hAnsi="Times New Roman"/>
          <w:sz w:val="24"/>
          <w:szCs w:val="24"/>
        </w:rPr>
        <w:t>w tym</w:t>
      </w:r>
      <w:r w:rsidRPr="00734ED5">
        <w:rPr>
          <w:rFonts w:ascii="Times New Roman" w:hAnsi="Times New Roman"/>
          <w:sz w:val="24"/>
          <w:szCs w:val="24"/>
        </w:rPr>
        <w:t xml:space="preserve"> </w:t>
      </w:r>
      <w:r w:rsidR="00C4577C">
        <w:rPr>
          <w:rFonts w:ascii="Times New Roman" w:hAnsi="Times New Roman"/>
          <w:b/>
          <w:sz w:val="24"/>
          <w:szCs w:val="24"/>
        </w:rPr>
        <w:t>29188</w:t>
      </w:r>
      <w:r w:rsidR="00C60FEA" w:rsidRPr="00632949">
        <w:rPr>
          <w:rFonts w:ascii="Times New Roman" w:hAnsi="Times New Roman"/>
          <w:b/>
          <w:sz w:val="24"/>
          <w:szCs w:val="24"/>
        </w:rPr>
        <w:t xml:space="preserve"> </w:t>
      </w:r>
      <w:r w:rsidRPr="00632949">
        <w:rPr>
          <w:rFonts w:ascii="Times New Roman" w:hAnsi="Times New Roman"/>
          <w:b/>
          <w:sz w:val="24"/>
          <w:szCs w:val="24"/>
        </w:rPr>
        <w:t>produktów</w:t>
      </w:r>
      <w:r w:rsidRPr="00734ED5">
        <w:rPr>
          <w:rFonts w:ascii="Times New Roman" w:hAnsi="Times New Roman"/>
          <w:sz w:val="24"/>
          <w:szCs w:val="24"/>
        </w:rPr>
        <w:t xml:space="preserve"> oceniono w zakresie uwidaczniania cen ich sprzedaży, </w:t>
      </w:r>
      <w:r w:rsidR="00C60FEA" w:rsidRPr="00120370">
        <w:rPr>
          <w:rFonts w:ascii="Times New Roman" w:hAnsi="Times New Roman"/>
          <w:sz w:val="24"/>
          <w:szCs w:val="24"/>
        </w:rPr>
        <w:t xml:space="preserve">stwierdzając nieprawidłowości w odniesieniu do </w:t>
      </w:r>
      <w:r w:rsidR="00C60FEA" w:rsidRPr="00632949">
        <w:rPr>
          <w:rFonts w:ascii="Times New Roman" w:hAnsi="Times New Roman"/>
          <w:b/>
          <w:sz w:val="24"/>
          <w:szCs w:val="24"/>
        </w:rPr>
        <w:t>3</w:t>
      </w:r>
      <w:r w:rsidR="00C4577C">
        <w:rPr>
          <w:rFonts w:ascii="Times New Roman" w:hAnsi="Times New Roman"/>
          <w:b/>
          <w:sz w:val="24"/>
          <w:szCs w:val="24"/>
        </w:rPr>
        <w:t>914</w:t>
      </w:r>
      <w:r w:rsidR="0010341C">
        <w:rPr>
          <w:rFonts w:ascii="Times New Roman" w:hAnsi="Times New Roman"/>
          <w:b/>
          <w:sz w:val="24"/>
          <w:szCs w:val="24"/>
        </w:rPr>
        <w:t xml:space="preserve"> </w:t>
      </w:r>
      <w:r w:rsidR="0010341C" w:rsidRPr="0010341C">
        <w:rPr>
          <w:rFonts w:ascii="Times New Roman" w:hAnsi="Times New Roman"/>
          <w:sz w:val="24"/>
          <w:szCs w:val="24"/>
        </w:rPr>
        <w:t>(1</w:t>
      </w:r>
      <w:r w:rsidR="00C4577C">
        <w:rPr>
          <w:rFonts w:ascii="Times New Roman" w:hAnsi="Times New Roman"/>
          <w:sz w:val="24"/>
          <w:szCs w:val="24"/>
        </w:rPr>
        <w:t>3</w:t>
      </w:r>
      <w:r w:rsidR="0010341C" w:rsidRPr="0010341C">
        <w:rPr>
          <w:rFonts w:ascii="Times New Roman" w:hAnsi="Times New Roman"/>
          <w:sz w:val="24"/>
          <w:szCs w:val="24"/>
        </w:rPr>
        <w:t>%)</w:t>
      </w:r>
      <w:r w:rsidR="00734ED5" w:rsidRPr="0010341C">
        <w:rPr>
          <w:rFonts w:ascii="Times New Roman" w:hAnsi="Times New Roman"/>
          <w:sz w:val="24"/>
          <w:szCs w:val="24"/>
        </w:rPr>
        <w:t>,</w:t>
      </w:r>
    </w:p>
    <w:p w14:paraId="5E32D9D9" w14:textId="076CA0CF" w:rsidR="008A4BD3" w:rsidRPr="000C5C3B" w:rsidRDefault="00E80632" w:rsidP="00F377D9">
      <w:pPr>
        <w:pStyle w:val="Akapitzlist"/>
        <w:numPr>
          <w:ilvl w:val="0"/>
          <w:numId w:val="6"/>
        </w:numPr>
        <w:spacing w:after="0" w:line="240" w:lineRule="auto"/>
        <w:ind w:left="567" w:hanging="357"/>
        <w:jc w:val="both"/>
      </w:pPr>
      <w:bookmarkStart w:id="0" w:name="_Hlk127184178"/>
      <w:r w:rsidRPr="000C5C3B">
        <w:rPr>
          <w:rFonts w:ascii="Times New Roman" w:hAnsi="Times New Roman"/>
          <w:sz w:val="24"/>
          <w:szCs w:val="24"/>
        </w:rPr>
        <w:t>na wniosek organów celno-skarbowych</w:t>
      </w:r>
      <w:r w:rsidR="00855286" w:rsidRPr="000C5C3B">
        <w:rPr>
          <w:rFonts w:ascii="Times New Roman" w:hAnsi="Times New Roman"/>
          <w:sz w:val="24"/>
          <w:szCs w:val="24"/>
        </w:rPr>
        <w:t xml:space="preserve"> sporządzono</w:t>
      </w:r>
      <w:r w:rsidRPr="000C5C3B">
        <w:rPr>
          <w:rFonts w:ascii="Times New Roman" w:hAnsi="Times New Roman"/>
          <w:sz w:val="24"/>
          <w:szCs w:val="24"/>
        </w:rPr>
        <w:t xml:space="preserve"> </w:t>
      </w:r>
      <w:r w:rsidR="00B903C0" w:rsidRPr="000C5C3B">
        <w:rPr>
          <w:rFonts w:ascii="Times New Roman" w:hAnsi="Times New Roman"/>
          <w:b/>
          <w:sz w:val="24"/>
          <w:szCs w:val="24"/>
        </w:rPr>
        <w:t>148</w:t>
      </w:r>
      <w:r w:rsidRPr="000C5C3B">
        <w:rPr>
          <w:rFonts w:ascii="Times New Roman" w:hAnsi="Times New Roman"/>
          <w:b/>
          <w:sz w:val="24"/>
          <w:szCs w:val="24"/>
        </w:rPr>
        <w:t xml:space="preserve"> opini</w:t>
      </w:r>
      <w:r w:rsidR="00B903C0" w:rsidRPr="000C5C3B">
        <w:rPr>
          <w:rFonts w:ascii="Times New Roman" w:hAnsi="Times New Roman"/>
          <w:b/>
          <w:sz w:val="24"/>
          <w:szCs w:val="24"/>
        </w:rPr>
        <w:t>i</w:t>
      </w:r>
      <w:r w:rsidRPr="000C5C3B">
        <w:rPr>
          <w:rFonts w:ascii="Times New Roman" w:hAnsi="Times New Roman"/>
          <w:sz w:val="24"/>
          <w:szCs w:val="24"/>
        </w:rPr>
        <w:t xml:space="preserve"> dotycząc</w:t>
      </w:r>
      <w:r w:rsidR="00B903C0" w:rsidRPr="000C5C3B">
        <w:rPr>
          <w:rFonts w:ascii="Times New Roman" w:hAnsi="Times New Roman"/>
          <w:sz w:val="24"/>
          <w:szCs w:val="24"/>
        </w:rPr>
        <w:t>ych</w:t>
      </w:r>
      <w:r w:rsidR="0051208F" w:rsidRPr="000C5C3B">
        <w:rPr>
          <w:rFonts w:ascii="Times New Roman" w:hAnsi="Times New Roman"/>
          <w:sz w:val="24"/>
          <w:szCs w:val="24"/>
        </w:rPr>
        <w:t xml:space="preserve"> </w:t>
      </w:r>
      <w:r w:rsidRPr="000C5C3B">
        <w:rPr>
          <w:rFonts w:ascii="Times New Roman" w:hAnsi="Times New Roman"/>
          <w:sz w:val="24"/>
          <w:szCs w:val="24"/>
        </w:rPr>
        <w:t>zgodności produktów importowanych na obszar UE z obowiązującymi przepisami</w:t>
      </w:r>
      <w:bookmarkEnd w:id="0"/>
      <w:r w:rsidR="00120370" w:rsidRPr="000C5C3B">
        <w:rPr>
          <w:rFonts w:ascii="Times New Roman" w:hAnsi="Times New Roman"/>
          <w:sz w:val="24"/>
          <w:szCs w:val="24"/>
        </w:rPr>
        <w:t>.</w:t>
      </w:r>
      <w:r w:rsidR="00EB09EC" w:rsidRPr="000C5C3B">
        <w:rPr>
          <w:rFonts w:ascii="Times New Roman" w:hAnsi="Times New Roman"/>
          <w:sz w:val="24"/>
          <w:szCs w:val="24"/>
        </w:rPr>
        <w:t xml:space="preserve"> </w:t>
      </w:r>
      <w:r w:rsidR="00E23728" w:rsidRPr="000C5C3B">
        <w:rPr>
          <w:rFonts w:ascii="Times New Roman" w:hAnsi="Times New Roman"/>
          <w:sz w:val="24"/>
          <w:szCs w:val="24"/>
        </w:rPr>
        <w:t>(</w:t>
      </w:r>
      <w:r w:rsidR="003F7092" w:rsidRPr="000C5C3B">
        <w:rPr>
          <w:rFonts w:ascii="Times New Roman" w:hAnsi="Times New Roman"/>
          <w:sz w:val="24"/>
          <w:szCs w:val="24"/>
        </w:rPr>
        <w:t>W 2021 r.– 19</w:t>
      </w:r>
      <w:r w:rsidR="00E23728" w:rsidRPr="000C5C3B">
        <w:rPr>
          <w:rFonts w:ascii="Times New Roman" w:hAnsi="Times New Roman"/>
          <w:sz w:val="24"/>
          <w:szCs w:val="24"/>
        </w:rPr>
        <w:t>)</w:t>
      </w:r>
      <w:r w:rsidR="000C5C3B">
        <w:rPr>
          <w:rFonts w:ascii="Times New Roman" w:hAnsi="Times New Roman"/>
          <w:sz w:val="24"/>
          <w:szCs w:val="24"/>
        </w:rPr>
        <w:t>.</w:t>
      </w:r>
    </w:p>
    <w:p w14:paraId="53B8671F" w14:textId="77777777" w:rsidR="000C5C3B" w:rsidRPr="000C5C3B" w:rsidRDefault="000C5C3B" w:rsidP="0088502A">
      <w:pPr>
        <w:ind w:left="210"/>
        <w:jc w:val="both"/>
      </w:pPr>
    </w:p>
    <w:p w14:paraId="6D61CC29" w14:textId="4C67FF82" w:rsidR="000C5C3B" w:rsidRPr="000C5C3B" w:rsidRDefault="000C5C3B" w:rsidP="00F377D9">
      <w:pPr>
        <w:pStyle w:val="Akapitzlist"/>
        <w:numPr>
          <w:ilvl w:val="0"/>
          <w:numId w:val="6"/>
        </w:numPr>
        <w:spacing w:after="0" w:line="240" w:lineRule="auto"/>
        <w:ind w:left="567" w:hanging="357"/>
        <w:jc w:val="both"/>
      </w:pPr>
      <w:r>
        <w:rPr>
          <w:noProof/>
          <w:lang w:eastAsia="pl-PL"/>
        </w:rPr>
        <w:drawing>
          <wp:anchor distT="0" distB="0" distL="114300" distR="114300" simplePos="0" relativeHeight="251657728" behindDoc="0" locked="0" layoutInCell="1" allowOverlap="1" wp14:anchorId="74DA0559" wp14:editId="0DC8A8B5">
            <wp:simplePos x="0" y="0"/>
            <wp:positionH relativeFrom="margin">
              <wp:posOffset>-138430</wp:posOffset>
            </wp:positionH>
            <wp:positionV relativeFrom="paragraph">
              <wp:posOffset>60325</wp:posOffset>
            </wp:positionV>
            <wp:extent cx="5848350" cy="2228850"/>
            <wp:effectExtent l="0" t="0" r="0" b="0"/>
            <wp:wrapTopAndBottom/>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Times New Roman" w:hAnsi="Times New Roman"/>
          <w:sz w:val="24"/>
          <w:szCs w:val="24"/>
        </w:rPr>
        <w:t>w ramach systemu ICSMS: zbadano 142 produkty i przekazano opinie w tym zakresie dla organów celnych;</w:t>
      </w:r>
      <w:r w:rsidR="00EE0625">
        <w:rPr>
          <w:rFonts w:ascii="Times New Roman" w:hAnsi="Times New Roman"/>
          <w:sz w:val="24"/>
          <w:szCs w:val="24"/>
        </w:rPr>
        <w:t xml:space="preserve"> przyjęto i zweryfikowano 133</w:t>
      </w:r>
      <w:r>
        <w:rPr>
          <w:rFonts w:ascii="Times New Roman" w:hAnsi="Times New Roman"/>
          <w:sz w:val="24"/>
          <w:szCs w:val="24"/>
        </w:rPr>
        <w:t xml:space="preserve"> notyfikacje produktów przez inne państwa członkowskie.</w:t>
      </w:r>
    </w:p>
    <w:p w14:paraId="24FDFC04" w14:textId="7CBB2B04" w:rsidR="005F79BE" w:rsidRPr="000C5C3B" w:rsidRDefault="005F79BE" w:rsidP="00856DF7">
      <w:pPr>
        <w:jc w:val="both"/>
      </w:pPr>
    </w:p>
    <w:p w14:paraId="628792F6" w14:textId="4333D5A1" w:rsidR="0010341C" w:rsidRDefault="00E80632" w:rsidP="00CB6FBB">
      <w:pPr>
        <w:spacing w:after="120"/>
        <w:jc w:val="both"/>
      </w:pPr>
      <w:r w:rsidRPr="00911779">
        <w:t>W następstwie stwierdzonych nieprawidłowości podjęto przewidziane prawem działania, tj.:</w:t>
      </w:r>
    </w:p>
    <w:p w14:paraId="7F4DB0E1" w14:textId="66310A98" w:rsidR="0010341C" w:rsidRPr="00632949" w:rsidRDefault="0010341C" w:rsidP="0010341C">
      <w:pPr>
        <w:pStyle w:val="Akapitzlist"/>
        <w:numPr>
          <w:ilvl w:val="0"/>
          <w:numId w:val="7"/>
        </w:numPr>
        <w:spacing w:after="0" w:line="240" w:lineRule="auto"/>
        <w:ind w:left="850" w:hanging="357"/>
        <w:jc w:val="both"/>
        <w:rPr>
          <w:rFonts w:ascii="Times New Roman" w:hAnsi="Times New Roman"/>
          <w:sz w:val="24"/>
          <w:szCs w:val="24"/>
        </w:rPr>
      </w:pPr>
      <w:r w:rsidRPr="00632949">
        <w:rPr>
          <w:rFonts w:ascii="Times New Roman" w:hAnsi="Times New Roman"/>
          <w:sz w:val="24"/>
          <w:szCs w:val="24"/>
        </w:rPr>
        <w:t xml:space="preserve">wydano w sumie </w:t>
      </w:r>
      <w:r w:rsidR="00B94AB3">
        <w:rPr>
          <w:rFonts w:ascii="Times New Roman" w:hAnsi="Times New Roman"/>
          <w:b/>
          <w:sz w:val="24"/>
          <w:szCs w:val="24"/>
        </w:rPr>
        <w:t xml:space="preserve">211 </w:t>
      </w:r>
      <w:r w:rsidRPr="00632949">
        <w:rPr>
          <w:rFonts w:ascii="Times New Roman" w:hAnsi="Times New Roman"/>
          <w:b/>
          <w:sz w:val="24"/>
          <w:szCs w:val="24"/>
        </w:rPr>
        <w:t>decyzji</w:t>
      </w:r>
      <w:r w:rsidRPr="00632949">
        <w:rPr>
          <w:rFonts w:ascii="Times New Roman" w:hAnsi="Times New Roman"/>
          <w:sz w:val="24"/>
          <w:szCs w:val="24"/>
        </w:rPr>
        <w:t xml:space="preserve"> administracyjnych</w:t>
      </w:r>
      <w:r>
        <w:rPr>
          <w:rFonts w:ascii="Times New Roman" w:hAnsi="Times New Roman"/>
          <w:sz w:val="24"/>
          <w:szCs w:val="24"/>
        </w:rPr>
        <w:t>;</w:t>
      </w:r>
      <w:r w:rsidRPr="00632949">
        <w:rPr>
          <w:rFonts w:ascii="Times New Roman" w:hAnsi="Times New Roman"/>
          <w:sz w:val="24"/>
          <w:szCs w:val="24"/>
        </w:rPr>
        <w:t xml:space="preserve"> suma nałożonych kar wyniosła </w:t>
      </w:r>
      <w:r w:rsidR="00B94AB3" w:rsidRPr="00B94AB3">
        <w:rPr>
          <w:rFonts w:ascii="Times New Roman" w:hAnsi="Times New Roman"/>
          <w:b/>
          <w:sz w:val="24"/>
          <w:szCs w:val="24"/>
        </w:rPr>
        <w:t>484</w:t>
      </w:r>
      <w:r w:rsidR="000D6E9F">
        <w:rPr>
          <w:rFonts w:ascii="Times New Roman" w:hAnsi="Times New Roman"/>
          <w:b/>
          <w:sz w:val="24"/>
          <w:szCs w:val="24"/>
        </w:rPr>
        <w:t>.</w:t>
      </w:r>
      <w:r w:rsidR="00B94AB3" w:rsidRPr="00B94AB3">
        <w:rPr>
          <w:rFonts w:ascii="Times New Roman" w:hAnsi="Times New Roman"/>
          <w:b/>
          <w:sz w:val="24"/>
          <w:szCs w:val="24"/>
        </w:rPr>
        <w:t>889</w:t>
      </w:r>
      <w:r w:rsidRPr="0010341C">
        <w:rPr>
          <w:rFonts w:ascii="Times New Roman" w:hAnsi="Times New Roman"/>
          <w:b/>
          <w:sz w:val="24"/>
          <w:szCs w:val="24"/>
        </w:rPr>
        <w:t>zł</w:t>
      </w:r>
      <w:r w:rsidRPr="00632949">
        <w:rPr>
          <w:rFonts w:ascii="Times New Roman" w:hAnsi="Times New Roman"/>
          <w:sz w:val="24"/>
          <w:szCs w:val="24"/>
        </w:rPr>
        <w:t xml:space="preserve"> (w roku poprzednim </w:t>
      </w:r>
      <w:r w:rsidR="000D6E9F">
        <w:rPr>
          <w:rFonts w:ascii="Times New Roman" w:hAnsi="Times New Roman"/>
          <w:sz w:val="24"/>
          <w:szCs w:val="24"/>
        </w:rPr>
        <w:t xml:space="preserve">119 decyzji, </w:t>
      </w:r>
      <w:r w:rsidR="00B94AB3">
        <w:rPr>
          <w:rFonts w:ascii="Times New Roman" w:hAnsi="Times New Roman"/>
          <w:sz w:val="24"/>
          <w:szCs w:val="24"/>
        </w:rPr>
        <w:t>nałożono kary</w:t>
      </w:r>
      <w:r w:rsidRPr="00632949">
        <w:rPr>
          <w:rFonts w:ascii="Times New Roman" w:hAnsi="Times New Roman"/>
          <w:sz w:val="24"/>
          <w:szCs w:val="24"/>
        </w:rPr>
        <w:t xml:space="preserve"> na łączną kwotę </w:t>
      </w:r>
      <w:r w:rsidR="00B94AB3">
        <w:rPr>
          <w:rFonts w:ascii="Times New Roman" w:hAnsi="Times New Roman"/>
          <w:sz w:val="24"/>
          <w:szCs w:val="24"/>
        </w:rPr>
        <w:t>288</w:t>
      </w:r>
      <w:r w:rsidR="000D6E9F">
        <w:rPr>
          <w:rFonts w:ascii="Times New Roman" w:hAnsi="Times New Roman"/>
          <w:sz w:val="24"/>
          <w:szCs w:val="24"/>
        </w:rPr>
        <w:t>.</w:t>
      </w:r>
      <w:r w:rsidR="00B94AB3">
        <w:rPr>
          <w:rFonts w:ascii="Times New Roman" w:hAnsi="Times New Roman"/>
          <w:sz w:val="24"/>
          <w:szCs w:val="24"/>
        </w:rPr>
        <w:t xml:space="preserve">300 </w:t>
      </w:r>
      <w:r>
        <w:rPr>
          <w:rFonts w:ascii="Times New Roman" w:hAnsi="Times New Roman"/>
          <w:sz w:val="24"/>
          <w:szCs w:val="24"/>
        </w:rPr>
        <w:t>zł</w:t>
      </w:r>
      <w:r w:rsidR="00B94AB3">
        <w:rPr>
          <w:rFonts w:ascii="Times New Roman" w:hAnsi="Times New Roman"/>
          <w:sz w:val="24"/>
          <w:szCs w:val="24"/>
        </w:rPr>
        <w:t>),</w:t>
      </w:r>
    </w:p>
    <w:p w14:paraId="601974FD" w14:textId="68DB88E3" w:rsidR="00E80632" w:rsidRPr="00B94AB3" w:rsidRDefault="00E80632" w:rsidP="00856DF7">
      <w:pPr>
        <w:pStyle w:val="Akapitzlist"/>
        <w:numPr>
          <w:ilvl w:val="0"/>
          <w:numId w:val="7"/>
        </w:numPr>
        <w:spacing w:after="0" w:line="240" w:lineRule="auto"/>
        <w:ind w:left="851" w:hanging="357"/>
        <w:jc w:val="both"/>
        <w:rPr>
          <w:rFonts w:ascii="Times New Roman" w:hAnsi="Times New Roman"/>
          <w:bCs/>
          <w:sz w:val="24"/>
          <w:szCs w:val="24"/>
        </w:rPr>
      </w:pPr>
      <w:r w:rsidRPr="00734ED5">
        <w:rPr>
          <w:rFonts w:ascii="Times New Roman" w:hAnsi="Times New Roman"/>
          <w:sz w:val="24"/>
          <w:szCs w:val="24"/>
        </w:rPr>
        <w:t>nałożono</w:t>
      </w:r>
      <w:r w:rsidR="00B94AB3">
        <w:rPr>
          <w:rFonts w:ascii="Times New Roman" w:hAnsi="Times New Roman"/>
          <w:sz w:val="24"/>
          <w:szCs w:val="24"/>
        </w:rPr>
        <w:t xml:space="preserve"> </w:t>
      </w:r>
      <w:r w:rsidR="00B94AB3" w:rsidRPr="00B94AB3">
        <w:rPr>
          <w:rFonts w:ascii="Times New Roman" w:hAnsi="Times New Roman"/>
          <w:b/>
          <w:bCs/>
          <w:sz w:val="24"/>
          <w:szCs w:val="24"/>
        </w:rPr>
        <w:t>119 mandatów karnych</w:t>
      </w:r>
      <w:r w:rsidR="00B94AB3">
        <w:rPr>
          <w:rFonts w:ascii="Times New Roman" w:hAnsi="Times New Roman"/>
          <w:sz w:val="24"/>
          <w:szCs w:val="24"/>
        </w:rPr>
        <w:t xml:space="preserve"> na kwotę </w:t>
      </w:r>
      <w:r w:rsidR="00B94AB3" w:rsidRPr="00B94AB3">
        <w:rPr>
          <w:rFonts w:ascii="Times New Roman" w:hAnsi="Times New Roman"/>
          <w:b/>
          <w:bCs/>
          <w:sz w:val="24"/>
          <w:szCs w:val="24"/>
        </w:rPr>
        <w:t>24</w:t>
      </w:r>
      <w:r w:rsidR="000D6E9F">
        <w:rPr>
          <w:rFonts w:ascii="Times New Roman" w:hAnsi="Times New Roman"/>
          <w:b/>
          <w:bCs/>
          <w:sz w:val="24"/>
          <w:szCs w:val="24"/>
        </w:rPr>
        <w:t>.</w:t>
      </w:r>
      <w:r w:rsidR="00B94AB3" w:rsidRPr="00B94AB3">
        <w:rPr>
          <w:rFonts w:ascii="Times New Roman" w:hAnsi="Times New Roman"/>
          <w:b/>
          <w:bCs/>
          <w:sz w:val="24"/>
          <w:szCs w:val="24"/>
        </w:rPr>
        <w:t>400 zł</w:t>
      </w:r>
      <w:r w:rsidRPr="00734ED5">
        <w:rPr>
          <w:rFonts w:ascii="Times New Roman" w:hAnsi="Times New Roman"/>
          <w:sz w:val="24"/>
          <w:szCs w:val="24"/>
        </w:rPr>
        <w:t xml:space="preserve"> </w:t>
      </w:r>
      <w:r w:rsidR="00B94AB3">
        <w:rPr>
          <w:rFonts w:ascii="Times New Roman" w:hAnsi="Times New Roman"/>
          <w:sz w:val="24"/>
          <w:szCs w:val="24"/>
        </w:rPr>
        <w:t xml:space="preserve">(w roku poprzednim - </w:t>
      </w:r>
      <w:r w:rsidR="006145BB" w:rsidRPr="00B94AB3">
        <w:rPr>
          <w:rFonts w:ascii="Times New Roman" w:hAnsi="Times New Roman"/>
          <w:bCs/>
          <w:sz w:val="24"/>
          <w:szCs w:val="24"/>
        </w:rPr>
        <w:t>6</w:t>
      </w:r>
      <w:r w:rsidRPr="00B94AB3">
        <w:rPr>
          <w:rFonts w:ascii="Times New Roman" w:hAnsi="Times New Roman"/>
          <w:bCs/>
          <w:sz w:val="24"/>
          <w:szCs w:val="24"/>
        </w:rPr>
        <w:t xml:space="preserve">3 mandaty karne w łącznej kwocie </w:t>
      </w:r>
      <w:r w:rsidR="006145BB" w:rsidRPr="00B94AB3">
        <w:rPr>
          <w:rFonts w:ascii="Times New Roman" w:hAnsi="Times New Roman"/>
          <w:bCs/>
          <w:sz w:val="24"/>
          <w:szCs w:val="24"/>
        </w:rPr>
        <w:t>9</w:t>
      </w:r>
      <w:r w:rsidR="000D6E9F">
        <w:rPr>
          <w:rFonts w:ascii="Times New Roman" w:hAnsi="Times New Roman"/>
          <w:bCs/>
          <w:sz w:val="24"/>
          <w:szCs w:val="24"/>
        </w:rPr>
        <w:t>.</w:t>
      </w:r>
      <w:r w:rsidR="006145BB" w:rsidRPr="00B94AB3">
        <w:rPr>
          <w:rFonts w:ascii="Times New Roman" w:hAnsi="Times New Roman"/>
          <w:bCs/>
          <w:sz w:val="24"/>
          <w:szCs w:val="24"/>
        </w:rPr>
        <w:t>570</w:t>
      </w:r>
      <w:r w:rsidRPr="00B94AB3">
        <w:rPr>
          <w:rFonts w:ascii="Times New Roman" w:hAnsi="Times New Roman"/>
          <w:bCs/>
          <w:sz w:val="24"/>
          <w:szCs w:val="24"/>
        </w:rPr>
        <w:t xml:space="preserve"> zł</w:t>
      </w:r>
      <w:r w:rsidR="00B94AB3">
        <w:rPr>
          <w:rFonts w:ascii="Times New Roman" w:hAnsi="Times New Roman"/>
          <w:bCs/>
          <w:sz w:val="24"/>
          <w:szCs w:val="24"/>
        </w:rPr>
        <w:t>)</w:t>
      </w:r>
      <w:r w:rsidRPr="00B94AB3">
        <w:rPr>
          <w:rFonts w:ascii="Times New Roman" w:hAnsi="Times New Roman"/>
          <w:bCs/>
          <w:sz w:val="24"/>
          <w:szCs w:val="24"/>
        </w:rPr>
        <w:t>,</w:t>
      </w:r>
    </w:p>
    <w:p w14:paraId="4BA9E966" w14:textId="0CD6B3EC" w:rsidR="00E80632" w:rsidRPr="00734ED5" w:rsidRDefault="00E80632" w:rsidP="00856DF7">
      <w:pPr>
        <w:pStyle w:val="Akapitzlist"/>
        <w:numPr>
          <w:ilvl w:val="0"/>
          <w:numId w:val="7"/>
        </w:numPr>
        <w:spacing w:after="0" w:line="240" w:lineRule="auto"/>
        <w:ind w:left="851" w:hanging="357"/>
        <w:jc w:val="both"/>
        <w:rPr>
          <w:rFonts w:ascii="Times New Roman" w:hAnsi="Times New Roman"/>
          <w:sz w:val="24"/>
          <w:szCs w:val="24"/>
        </w:rPr>
      </w:pPr>
      <w:r w:rsidRPr="00734ED5">
        <w:rPr>
          <w:rFonts w:ascii="Times New Roman" w:hAnsi="Times New Roman"/>
          <w:sz w:val="24"/>
          <w:szCs w:val="24"/>
        </w:rPr>
        <w:t xml:space="preserve">do </w:t>
      </w:r>
      <w:r w:rsidR="00C60FEA" w:rsidRPr="00734ED5">
        <w:rPr>
          <w:rFonts w:ascii="Times New Roman" w:hAnsi="Times New Roman"/>
          <w:sz w:val="24"/>
          <w:szCs w:val="24"/>
        </w:rPr>
        <w:t xml:space="preserve">właściwych miejscowo </w:t>
      </w:r>
      <w:r w:rsidR="00321E9D" w:rsidRPr="00734ED5">
        <w:rPr>
          <w:rFonts w:ascii="Times New Roman" w:hAnsi="Times New Roman"/>
          <w:sz w:val="24"/>
          <w:szCs w:val="24"/>
        </w:rPr>
        <w:t>prokuratur</w:t>
      </w:r>
      <w:r w:rsidRPr="00734ED5">
        <w:rPr>
          <w:rFonts w:ascii="Times New Roman" w:hAnsi="Times New Roman"/>
          <w:sz w:val="24"/>
          <w:szCs w:val="24"/>
        </w:rPr>
        <w:t xml:space="preserve"> skierowano</w:t>
      </w:r>
      <w:r w:rsidR="00B94AB3">
        <w:rPr>
          <w:rFonts w:ascii="Times New Roman" w:hAnsi="Times New Roman"/>
          <w:sz w:val="24"/>
          <w:szCs w:val="24"/>
        </w:rPr>
        <w:t xml:space="preserve"> </w:t>
      </w:r>
      <w:r w:rsidR="00B94AB3" w:rsidRPr="00B94AB3">
        <w:rPr>
          <w:rFonts w:ascii="Times New Roman" w:hAnsi="Times New Roman"/>
          <w:b/>
          <w:bCs/>
          <w:sz w:val="24"/>
          <w:szCs w:val="24"/>
        </w:rPr>
        <w:t>5</w:t>
      </w:r>
      <w:r w:rsidR="00645BFC" w:rsidRPr="0010341C">
        <w:rPr>
          <w:rFonts w:ascii="Times New Roman" w:hAnsi="Times New Roman"/>
          <w:b/>
          <w:sz w:val="24"/>
          <w:szCs w:val="24"/>
        </w:rPr>
        <w:t xml:space="preserve"> zawiadomień</w:t>
      </w:r>
      <w:r w:rsidR="00645BFC" w:rsidRPr="00734ED5">
        <w:rPr>
          <w:rFonts w:ascii="Times New Roman" w:hAnsi="Times New Roman"/>
          <w:sz w:val="24"/>
          <w:szCs w:val="24"/>
        </w:rPr>
        <w:t xml:space="preserve"> o uzasadnionym podejrzeniu popełnienia przestępstwa,</w:t>
      </w:r>
      <w:r w:rsidRPr="00734ED5">
        <w:rPr>
          <w:rFonts w:ascii="Times New Roman" w:hAnsi="Times New Roman"/>
          <w:sz w:val="24"/>
          <w:szCs w:val="24"/>
        </w:rPr>
        <w:t xml:space="preserve"> </w:t>
      </w:r>
    </w:p>
    <w:p w14:paraId="1621BB5C" w14:textId="6797BCF7" w:rsidR="00645BFC" w:rsidRDefault="00645BFC" w:rsidP="00856DF7">
      <w:pPr>
        <w:pStyle w:val="Akapitzlist"/>
        <w:numPr>
          <w:ilvl w:val="0"/>
          <w:numId w:val="7"/>
        </w:numPr>
        <w:spacing w:after="0" w:line="240" w:lineRule="auto"/>
        <w:ind w:left="851" w:hanging="357"/>
        <w:jc w:val="both"/>
        <w:rPr>
          <w:rFonts w:ascii="Times New Roman" w:hAnsi="Times New Roman"/>
          <w:sz w:val="24"/>
          <w:szCs w:val="24"/>
        </w:rPr>
      </w:pPr>
      <w:r w:rsidRPr="00734ED5">
        <w:rPr>
          <w:rFonts w:ascii="Times New Roman" w:hAnsi="Times New Roman"/>
          <w:sz w:val="24"/>
          <w:szCs w:val="24"/>
        </w:rPr>
        <w:t xml:space="preserve">wydano </w:t>
      </w:r>
      <w:r w:rsidRPr="0010341C">
        <w:rPr>
          <w:rFonts w:ascii="Times New Roman" w:hAnsi="Times New Roman"/>
          <w:b/>
          <w:sz w:val="24"/>
          <w:szCs w:val="24"/>
        </w:rPr>
        <w:t>1</w:t>
      </w:r>
      <w:r w:rsidR="00B94AB3">
        <w:rPr>
          <w:rFonts w:ascii="Times New Roman" w:hAnsi="Times New Roman"/>
          <w:b/>
          <w:sz w:val="24"/>
          <w:szCs w:val="24"/>
        </w:rPr>
        <w:t>41</w:t>
      </w:r>
      <w:r w:rsidRPr="0010341C">
        <w:rPr>
          <w:rFonts w:ascii="Times New Roman" w:hAnsi="Times New Roman"/>
          <w:b/>
          <w:sz w:val="24"/>
          <w:szCs w:val="24"/>
        </w:rPr>
        <w:t xml:space="preserve"> żąda</w:t>
      </w:r>
      <w:r w:rsidR="008A4BD3" w:rsidRPr="0010341C">
        <w:rPr>
          <w:rFonts w:ascii="Times New Roman" w:hAnsi="Times New Roman"/>
          <w:b/>
          <w:sz w:val="24"/>
          <w:szCs w:val="24"/>
        </w:rPr>
        <w:t>ń</w:t>
      </w:r>
      <w:r w:rsidRPr="00734ED5">
        <w:rPr>
          <w:rFonts w:ascii="Times New Roman" w:hAnsi="Times New Roman"/>
          <w:sz w:val="24"/>
          <w:szCs w:val="24"/>
        </w:rPr>
        <w:t xml:space="preserve"> usunięcia nieprawidłowości,</w:t>
      </w:r>
    </w:p>
    <w:p w14:paraId="43394AEA" w14:textId="4086A51E" w:rsidR="00B94AB3" w:rsidRPr="00734ED5" w:rsidRDefault="00B94AB3" w:rsidP="00856DF7">
      <w:pPr>
        <w:pStyle w:val="Akapitzlist"/>
        <w:numPr>
          <w:ilvl w:val="0"/>
          <w:numId w:val="7"/>
        </w:numPr>
        <w:spacing w:after="0" w:line="240" w:lineRule="auto"/>
        <w:ind w:left="851" w:hanging="357"/>
        <w:jc w:val="both"/>
        <w:rPr>
          <w:rFonts w:ascii="Times New Roman" w:hAnsi="Times New Roman"/>
          <w:sz w:val="24"/>
          <w:szCs w:val="24"/>
        </w:rPr>
      </w:pPr>
      <w:r>
        <w:rPr>
          <w:rFonts w:ascii="Times New Roman" w:hAnsi="Times New Roman"/>
          <w:sz w:val="24"/>
          <w:szCs w:val="24"/>
        </w:rPr>
        <w:t xml:space="preserve">skierowano do sądu </w:t>
      </w:r>
      <w:r w:rsidRPr="00B94AB3">
        <w:rPr>
          <w:rFonts w:ascii="Times New Roman" w:hAnsi="Times New Roman"/>
          <w:b/>
          <w:bCs/>
          <w:sz w:val="24"/>
          <w:szCs w:val="24"/>
        </w:rPr>
        <w:t>1 wniosek o ukaranie</w:t>
      </w:r>
      <w:r>
        <w:rPr>
          <w:rFonts w:ascii="Times New Roman" w:hAnsi="Times New Roman"/>
          <w:sz w:val="24"/>
          <w:szCs w:val="24"/>
        </w:rPr>
        <w:t>,</w:t>
      </w:r>
    </w:p>
    <w:p w14:paraId="707181F6" w14:textId="6181DFE8" w:rsidR="00C60FEA" w:rsidRPr="00734ED5" w:rsidRDefault="00C60FEA" w:rsidP="00856DF7">
      <w:pPr>
        <w:pStyle w:val="Akapitzlist"/>
        <w:numPr>
          <w:ilvl w:val="0"/>
          <w:numId w:val="7"/>
        </w:numPr>
        <w:spacing w:after="0" w:line="240" w:lineRule="auto"/>
        <w:ind w:left="851" w:hanging="357"/>
        <w:jc w:val="both"/>
        <w:rPr>
          <w:rFonts w:ascii="Times New Roman" w:hAnsi="Times New Roman"/>
          <w:sz w:val="24"/>
          <w:szCs w:val="24"/>
        </w:rPr>
      </w:pPr>
      <w:r w:rsidRPr="00734ED5">
        <w:rPr>
          <w:rFonts w:ascii="Times New Roman" w:hAnsi="Times New Roman"/>
          <w:sz w:val="24"/>
          <w:szCs w:val="24"/>
        </w:rPr>
        <w:t xml:space="preserve">w </w:t>
      </w:r>
      <w:r w:rsidRPr="00B94AB3">
        <w:rPr>
          <w:rFonts w:ascii="Times New Roman" w:hAnsi="Times New Roman"/>
          <w:b/>
          <w:bCs/>
          <w:sz w:val="24"/>
          <w:szCs w:val="24"/>
        </w:rPr>
        <w:t xml:space="preserve">2 </w:t>
      </w:r>
      <w:r w:rsidRPr="00734ED5">
        <w:rPr>
          <w:rFonts w:ascii="Times New Roman" w:hAnsi="Times New Roman"/>
          <w:sz w:val="24"/>
          <w:szCs w:val="24"/>
        </w:rPr>
        <w:t xml:space="preserve">sprawach zastosowano pouczenia na zasadzie art. 41 </w:t>
      </w:r>
      <w:proofErr w:type="spellStart"/>
      <w:r w:rsidRPr="00734ED5">
        <w:rPr>
          <w:rFonts w:ascii="Times New Roman" w:hAnsi="Times New Roman"/>
          <w:sz w:val="24"/>
          <w:szCs w:val="24"/>
        </w:rPr>
        <w:t>Kw</w:t>
      </w:r>
      <w:proofErr w:type="spellEnd"/>
      <w:r w:rsidRPr="00734ED5">
        <w:rPr>
          <w:rFonts w:ascii="Times New Roman" w:hAnsi="Times New Roman"/>
          <w:sz w:val="24"/>
          <w:szCs w:val="24"/>
        </w:rPr>
        <w:t>,</w:t>
      </w:r>
    </w:p>
    <w:p w14:paraId="754C9CAC" w14:textId="77777777" w:rsidR="00856DF7" w:rsidRPr="00734ED5" w:rsidRDefault="00856DF7" w:rsidP="00856DF7">
      <w:pPr>
        <w:pStyle w:val="Akapitzlist"/>
        <w:spacing w:after="0" w:line="240" w:lineRule="auto"/>
        <w:ind w:left="850"/>
        <w:jc w:val="both"/>
        <w:rPr>
          <w:rFonts w:ascii="Times New Roman" w:hAnsi="Times New Roman"/>
          <w:sz w:val="24"/>
          <w:szCs w:val="24"/>
        </w:rPr>
      </w:pPr>
    </w:p>
    <w:p w14:paraId="78D33548" w14:textId="29DD3FC1" w:rsidR="0051208F" w:rsidRDefault="004E0C43" w:rsidP="00446E6B">
      <w:pPr>
        <w:ind w:left="284"/>
        <w:jc w:val="both"/>
      </w:pPr>
      <w:r>
        <w:rPr>
          <w:noProof/>
        </w:rPr>
        <w:drawing>
          <wp:inline distT="0" distB="0" distL="0" distR="0" wp14:anchorId="09B61601" wp14:editId="3B11DB29">
            <wp:extent cx="2828925" cy="253365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22D26">
        <w:rPr>
          <w:noProof/>
        </w:rPr>
        <w:drawing>
          <wp:inline distT="0" distB="0" distL="0" distR="0" wp14:anchorId="359338D9" wp14:editId="755E3B32">
            <wp:extent cx="2819400" cy="253365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E38D9B" w14:textId="0D5C3AED" w:rsidR="009A758E" w:rsidRDefault="009A758E" w:rsidP="00446E6B">
      <w:pPr>
        <w:ind w:left="284"/>
        <w:jc w:val="both"/>
      </w:pPr>
    </w:p>
    <w:p w14:paraId="264D50B2" w14:textId="42C1B78C" w:rsidR="00856DF7" w:rsidRDefault="00856DF7" w:rsidP="00446E6B">
      <w:pPr>
        <w:ind w:left="284"/>
        <w:jc w:val="both"/>
      </w:pPr>
    </w:p>
    <w:p w14:paraId="1CAB51B9" w14:textId="736AF434" w:rsidR="000C5C3B" w:rsidRDefault="000C5C3B" w:rsidP="00446E6B">
      <w:pPr>
        <w:ind w:left="284"/>
        <w:jc w:val="both"/>
      </w:pPr>
    </w:p>
    <w:p w14:paraId="69277276" w14:textId="295F1793" w:rsidR="000C5C3B" w:rsidRDefault="000C5C3B" w:rsidP="00446E6B">
      <w:pPr>
        <w:ind w:left="284"/>
        <w:jc w:val="both"/>
      </w:pPr>
    </w:p>
    <w:p w14:paraId="40181BCC" w14:textId="77EF4031" w:rsidR="000C5C3B" w:rsidRDefault="000C5C3B" w:rsidP="00446E6B">
      <w:pPr>
        <w:ind w:left="284"/>
        <w:jc w:val="both"/>
      </w:pPr>
    </w:p>
    <w:p w14:paraId="307E84E6" w14:textId="77777777" w:rsidR="000C5C3B" w:rsidRPr="003510BE" w:rsidRDefault="000C5C3B" w:rsidP="00446E6B">
      <w:pPr>
        <w:ind w:left="284"/>
        <w:jc w:val="both"/>
      </w:pPr>
    </w:p>
    <w:p w14:paraId="595BA6CF" w14:textId="77777777" w:rsidR="00E80632" w:rsidRPr="00A0065F" w:rsidRDefault="00E80632" w:rsidP="00E80632">
      <w:pPr>
        <w:pStyle w:val="Akapitzlist"/>
        <w:widowControl w:val="0"/>
        <w:numPr>
          <w:ilvl w:val="0"/>
          <w:numId w:val="4"/>
        </w:numPr>
        <w:tabs>
          <w:tab w:val="left" w:pos="1980"/>
        </w:tabs>
        <w:autoSpaceDE w:val="0"/>
        <w:jc w:val="both"/>
        <w:rPr>
          <w:rFonts w:eastAsia="Times New Roman"/>
          <w:b/>
          <w:sz w:val="28"/>
          <w:szCs w:val="28"/>
        </w:rPr>
      </w:pPr>
      <w:r w:rsidRPr="00A0065F">
        <w:rPr>
          <w:rFonts w:ascii="Times New Roman" w:hAnsi="Times New Roman"/>
          <w:b/>
          <w:sz w:val="28"/>
          <w:szCs w:val="28"/>
        </w:rPr>
        <w:lastRenderedPageBreak/>
        <w:t>Efektywność działania Inspektoratu w podstawowych obszarach działania.</w:t>
      </w:r>
    </w:p>
    <w:p w14:paraId="163F2D66" w14:textId="533A7B73" w:rsidR="00E80632" w:rsidRDefault="009E3C0E" w:rsidP="004E0C43">
      <w:pPr>
        <w:widowControl w:val="0"/>
        <w:tabs>
          <w:tab w:val="left" w:pos="1980"/>
        </w:tabs>
        <w:autoSpaceDE w:val="0"/>
        <w:jc w:val="both"/>
        <w:rPr>
          <w:rFonts w:eastAsia="Times New Roman"/>
          <w:b/>
        </w:rPr>
      </w:pPr>
      <w:r w:rsidRPr="00FF4479">
        <w:rPr>
          <w:rFonts w:eastAsia="HG Mincho Light J"/>
          <w:noProof/>
          <w:color w:val="FF0000"/>
        </w:rPr>
        <w:drawing>
          <wp:anchor distT="0" distB="0" distL="114300" distR="114300" simplePos="0" relativeHeight="251658752" behindDoc="1" locked="0" layoutInCell="1" allowOverlap="1" wp14:anchorId="2B3292DB" wp14:editId="5BAB721E">
            <wp:simplePos x="0" y="0"/>
            <wp:positionH relativeFrom="column">
              <wp:posOffset>3700145</wp:posOffset>
            </wp:positionH>
            <wp:positionV relativeFrom="paragraph">
              <wp:posOffset>73025</wp:posOffset>
            </wp:positionV>
            <wp:extent cx="2238375" cy="2952750"/>
            <wp:effectExtent l="0" t="0" r="9525" b="0"/>
            <wp:wrapTight wrapText="bothSides">
              <wp:wrapPolygon edited="0">
                <wp:start x="0" y="0"/>
                <wp:lineTo x="0" y="21461"/>
                <wp:lineTo x="21508" y="21461"/>
                <wp:lineTo x="21508" y="0"/>
                <wp:lineTo x="0" y="0"/>
              </wp:wrapPolygon>
            </wp:wrapTight>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0065F">
        <w:rPr>
          <w:rFonts w:eastAsia="Times New Roman"/>
          <w:b/>
        </w:rPr>
        <w:t xml:space="preserve">1) </w:t>
      </w:r>
      <w:r w:rsidR="00E80632" w:rsidRPr="00726D0C">
        <w:rPr>
          <w:rFonts w:eastAsia="Times New Roman"/>
          <w:b/>
        </w:rPr>
        <w:t>Jakość paliw ciekłych i stałych</w:t>
      </w:r>
    </w:p>
    <w:p w14:paraId="35FDFE55" w14:textId="5E667709" w:rsidR="001E2135" w:rsidRPr="004E0C43" w:rsidRDefault="001E2135" w:rsidP="004E0C43">
      <w:pPr>
        <w:widowControl w:val="0"/>
        <w:tabs>
          <w:tab w:val="left" w:pos="1980"/>
        </w:tabs>
        <w:autoSpaceDE w:val="0"/>
        <w:jc w:val="both"/>
        <w:rPr>
          <w:rFonts w:eastAsia="Times New Roman"/>
          <w:b/>
        </w:rPr>
      </w:pPr>
    </w:p>
    <w:p w14:paraId="4F7A0735" w14:textId="6F960A9E" w:rsidR="009E3C0E" w:rsidRDefault="009E3C0E" w:rsidP="00363D01">
      <w:pPr>
        <w:widowControl w:val="0"/>
        <w:suppressAutoHyphens/>
        <w:spacing w:after="120"/>
        <w:jc w:val="both"/>
        <w:rPr>
          <w:rFonts w:eastAsia="HG Mincho Light J"/>
          <w:color w:val="000000" w:themeColor="text1"/>
        </w:rPr>
      </w:pPr>
      <w:r w:rsidRPr="007D76BB">
        <w:rPr>
          <w:rFonts w:eastAsia="HG Mincho Light J"/>
          <w:color w:val="000000" w:themeColor="text1"/>
        </w:rPr>
        <w:t>W 202</w:t>
      </w:r>
      <w:r>
        <w:rPr>
          <w:rFonts w:eastAsia="HG Mincho Light J"/>
          <w:color w:val="000000" w:themeColor="text1"/>
        </w:rPr>
        <w:t>2</w:t>
      </w:r>
      <w:r w:rsidRPr="007D76BB">
        <w:rPr>
          <w:rFonts w:eastAsia="HG Mincho Light J"/>
          <w:color w:val="000000" w:themeColor="text1"/>
        </w:rPr>
        <w:t xml:space="preserve"> r. przeprowadzono </w:t>
      </w:r>
      <w:r>
        <w:rPr>
          <w:rFonts w:eastAsia="HG Mincho Light J"/>
          <w:b/>
          <w:color w:val="000000" w:themeColor="text1"/>
        </w:rPr>
        <w:t>77</w:t>
      </w:r>
      <w:r w:rsidRPr="001E2135">
        <w:rPr>
          <w:rFonts w:eastAsia="HG Mincho Light J"/>
          <w:b/>
          <w:color w:val="000000" w:themeColor="text1"/>
        </w:rPr>
        <w:t xml:space="preserve"> kontroli paliw</w:t>
      </w:r>
      <w:r w:rsidRPr="007D76BB">
        <w:rPr>
          <w:rFonts w:eastAsia="HG Mincho Light J"/>
          <w:color w:val="000000" w:themeColor="text1"/>
        </w:rPr>
        <w:t xml:space="preserve"> (</w:t>
      </w:r>
      <w:r>
        <w:rPr>
          <w:rFonts w:eastAsia="HG Mincho Light J"/>
          <w:color w:val="000000" w:themeColor="text1"/>
        </w:rPr>
        <w:t>59</w:t>
      </w:r>
      <w:r w:rsidRPr="007D76BB">
        <w:rPr>
          <w:rFonts w:eastAsia="HG Mincho Light J"/>
          <w:color w:val="000000" w:themeColor="text1"/>
        </w:rPr>
        <w:t xml:space="preserve"> </w:t>
      </w:r>
      <w:r>
        <w:rPr>
          <w:rFonts w:eastAsia="HG Mincho Light J"/>
          <w:color w:val="000000" w:themeColor="text1"/>
        </w:rPr>
        <w:t xml:space="preserve">kontroli </w:t>
      </w:r>
      <w:r w:rsidRPr="007D76BB">
        <w:rPr>
          <w:rFonts w:eastAsia="HG Mincho Light J"/>
          <w:color w:val="000000" w:themeColor="text1"/>
        </w:rPr>
        <w:t xml:space="preserve">paliw ciekłych oraz </w:t>
      </w:r>
      <w:r>
        <w:rPr>
          <w:rFonts w:eastAsia="HG Mincho Light J"/>
          <w:color w:val="000000" w:themeColor="text1"/>
        </w:rPr>
        <w:t>18 kontroli</w:t>
      </w:r>
      <w:r w:rsidRPr="007D76BB">
        <w:rPr>
          <w:rFonts w:eastAsia="HG Mincho Light J"/>
          <w:color w:val="000000" w:themeColor="text1"/>
        </w:rPr>
        <w:t xml:space="preserve"> </w:t>
      </w:r>
      <w:r>
        <w:rPr>
          <w:rFonts w:eastAsia="HG Mincho Light J"/>
          <w:color w:val="000000" w:themeColor="text1"/>
        </w:rPr>
        <w:t xml:space="preserve">paliw </w:t>
      </w:r>
      <w:r w:rsidRPr="007D76BB">
        <w:rPr>
          <w:rFonts w:eastAsia="HG Mincho Light J"/>
          <w:color w:val="000000" w:themeColor="text1"/>
        </w:rPr>
        <w:t xml:space="preserve">stałych), w następstwie których zakwestionowano </w:t>
      </w:r>
      <w:r>
        <w:rPr>
          <w:rFonts w:eastAsia="HG Mincho Light J"/>
          <w:b/>
          <w:bCs/>
          <w:color w:val="000000" w:themeColor="text1"/>
        </w:rPr>
        <w:t>5</w:t>
      </w:r>
      <w:r w:rsidRPr="00FC117A">
        <w:rPr>
          <w:rFonts w:eastAsia="HG Mincho Light J"/>
          <w:b/>
          <w:bCs/>
          <w:color w:val="000000" w:themeColor="text1"/>
        </w:rPr>
        <w:t xml:space="preserve"> parti</w:t>
      </w:r>
      <w:r>
        <w:rPr>
          <w:rFonts w:eastAsia="HG Mincho Light J"/>
          <w:b/>
          <w:bCs/>
          <w:color w:val="000000" w:themeColor="text1"/>
        </w:rPr>
        <w:t>i</w:t>
      </w:r>
      <w:r w:rsidRPr="007D76BB">
        <w:rPr>
          <w:rFonts w:eastAsia="HG Mincho Light J"/>
          <w:color w:val="000000" w:themeColor="text1"/>
        </w:rPr>
        <w:t xml:space="preserve"> paliw</w:t>
      </w:r>
      <w:r>
        <w:rPr>
          <w:rFonts w:eastAsia="HG Mincho Light J"/>
          <w:color w:val="000000" w:themeColor="text1"/>
        </w:rPr>
        <w:t>. Zakwestionowano c</w:t>
      </w:r>
      <w:r w:rsidRPr="009F1BCD">
        <w:rPr>
          <w:rFonts w:eastAsia="HG Mincho Light J"/>
          <w:b/>
          <w:bCs/>
          <w:color w:val="000000" w:themeColor="text1"/>
        </w:rPr>
        <w:t>ztery partie</w:t>
      </w:r>
      <w:r>
        <w:rPr>
          <w:rFonts w:eastAsia="HG Mincho Light J"/>
          <w:color w:val="000000" w:themeColor="text1"/>
        </w:rPr>
        <w:t xml:space="preserve"> paliwa</w:t>
      </w:r>
      <w:r w:rsidRPr="007D76BB">
        <w:rPr>
          <w:rFonts w:eastAsia="HG Mincho Light J"/>
          <w:color w:val="000000" w:themeColor="text1"/>
        </w:rPr>
        <w:t xml:space="preserve"> stałego</w:t>
      </w:r>
      <w:r>
        <w:rPr>
          <w:rFonts w:eastAsia="HG Mincho Light J"/>
          <w:color w:val="000000" w:themeColor="text1"/>
        </w:rPr>
        <w:t xml:space="preserve">, z czego </w:t>
      </w:r>
      <w:r>
        <w:rPr>
          <w:rFonts w:eastAsia="HG Mincho Light J"/>
          <w:b/>
          <w:bCs/>
          <w:color w:val="000000" w:themeColor="text1"/>
        </w:rPr>
        <w:t>2</w:t>
      </w:r>
      <w:r w:rsidRPr="00FC117A">
        <w:rPr>
          <w:rFonts w:eastAsia="HG Mincho Light J"/>
          <w:b/>
          <w:bCs/>
          <w:color w:val="000000" w:themeColor="text1"/>
        </w:rPr>
        <w:t xml:space="preserve"> partie</w:t>
      </w:r>
      <w:r w:rsidRPr="007D76BB">
        <w:rPr>
          <w:rFonts w:eastAsia="HG Mincho Light J"/>
          <w:color w:val="000000" w:themeColor="text1"/>
        </w:rPr>
        <w:t xml:space="preserve"> z uwagi na parametry zadeklarowane w przekazanym wraz próbką do badań świadectwie jakości, które były niezgodne ze stanem faktycznym</w:t>
      </w:r>
      <w:r>
        <w:rPr>
          <w:rFonts w:eastAsia="HG Mincho Light J"/>
          <w:color w:val="000000" w:themeColor="text1"/>
        </w:rPr>
        <w:t xml:space="preserve"> oraz </w:t>
      </w:r>
      <w:r>
        <w:rPr>
          <w:rFonts w:eastAsia="HG Mincho Light J"/>
          <w:lang w:eastAsia="ar-SA"/>
        </w:rPr>
        <w:t xml:space="preserve">niespełniania </w:t>
      </w:r>
      <w:r w:rsidRPr="009250FC">
        <w:t>wymagań jakościowych</w:t>
      </w:r>
      <w:r w:rsidRPr="000560F1">
        <w:rPr>
          <w:rFonts w:eastAsia="HG Mincho Light J"/>
          <w:color w:val="000000" w:themeColor="text1"/>
        </w:rPr>
        <w:t>. Jedną partię zakwestionowano z uwagi na parametry zadeklarowane w przekazanym wraz próbką do badań świadectwie jakości, które były niezgodne ze stanem faktycznym. Jedna partia nie spełniała wymagań jakościowych. Zakwestionowano również jedną partię paliwa</w:t>
      </w:r>
      <w:r>
        <w:rPr>
          <w:rFonts w:eastAsia="HG Mincho Light J"/>
          <w:color w:val="000000" w:themeColor="text1"/>
        </w:rPr>
        <w:t xml:space="preserve"> ciekłego z uwagi na niespełnianie wymagań jakościowych.</w:t>
      </w:r>
    </w:p>
    <w:p w14:paraId="63C754DD" w14:textId="77777777" w:rsidR="009E3C0E" w:rsidRPr="009E3C0E" w:rsidRDefault="009E3C0E" w:rsidP="009E3C0E">
      <w:pPr>
        <w:spacing w:after="120"/>
        <w:jc w:val="both"/>
        <w:rPr>
          <w:rFonts w:eastAsiaTheme="minorHAnsi"/>
          <w:lang w:eastAsia="en-US"/>
        </w:rPr>
      </w:pPr>
      <w:r w:rsidRPr="009E3C0E">
        <w:rPr>
          <w:lang w:eastAsia="ar-SA"/>
        </w:rPr>
        <w:t>W trakcie 15 kontroli jakości paliw stałych przekazano do laboratorium wraz z próbkami paliwa stałego kopię świadectwa jakości paliwa stałego pobranego do badań w celu sprawdzenia wartości parametrów na zgodność ze stanem faktycznym. Badania laboratoryjne wykazały, iż w 2</w:t>
      </w:r>
      <w:r w:rsidRPr="009E3C0E">
        <w:rPr>
          <w:color w:val="FF0000"/>
          <w:lang w:eastAsia="ar-SA"/>
        </w:rPr>
        <w:t xml:space="preserve"> </w:t>
      </w:r>
      <w:r w:rsidRPr="009E3C0E">
        <w:rPr>
          <w:lang w:eastAsia="ar-SA"/>
        </w:rPr>
        <w:t>przypadkach parametry zadeklarowane w świadectwie jakości przez przedsiębiorców były niezgodne ze stanem faktycznym</w:t>
      </w:r>
      <w:r w:rsidRPr="009E3C0E">
        <w:rPr>
          <w:color w:val="000000" w:themeColor="text1"/>
          <w:lang w:eastAsia="ar-SA"/>
        </w:rPr>
        <w:t xml:space="preserve"> oraz stwierdzono niespełnienie wymagań jakościowych. W jednym przypadku stwierdzono wyłącznie niespełnienie wymagań jakościowych</w:t>
      </w:r>
      <w:r w:rsidRPr="009E3C0E">
        <w:rPr>
          <w:lang w:eastAsia="ar-SA"/>
        </w:rPr>
        <w:t xml:space="preserve">. </w:t>
      </w:r>
      <w:r w:rsidRPr="009E3C0E">
        <w:rPr>
          <w:color w:val="000000" w:themeColor="text1"/>
          <w:lang w:eastAsia="ar-SA"/>
        </w:rPr>
        <w:t xml:space="preserve">W jednym przypadku stwierdzono że </w:t>
      </w:r>
      <w:r w:rsidRPr="009E3C0E">
        <w:rPr>
          <w:lang w:eastAsia="ar-SA"/>
        </w:rPr>
        <w:t>parametry zadeklarowane w świadectwie jakości przez przedsiębiorców były niezgodne ze stanem faktycznym</w:t>
      </w:r>
      <w:r w:rsidRPr="009E3C0E">
        <w:rPr>
          <w:color w:val="000000" w:themeColor="text1"/>
          <w:lang w:eastAsia="ar-SA"/>
        </w:rPr>
        <w:t>.</w:t>
      </w:r>
      <w:r w:rsidRPr="009E3C0E">
        <w:rPr>
          <w:lang w:eastAsia="ar-SA"/>
        </w:rPr>
        <w:t xml:space="preserve"> </w:t>
      </w:r>
      <w:r w:rsidRPr="009E3C0E">
        <w:rPr>
          <w:color w:val="000000" w:themeColor="text1"/>
          <w:lang w:eastAsia="ar-SA"/>
        </w:rPr>
        <w:t xml:space="preserve"> W związku z powyższym </w:t>
      </w:r>
      <w:r w:rsidRPr="009E3C0E">
        <w:rPr>
          <w:rFonts w:eastAsiaTheme="minorHAnsi"/>
          <w:lang w:eastAsia="en-US"/>
        </w:rPr>
        <w:t>nałożono na kontrolowanych kary pieniężne o łącznej wartości 37 000 zł. W 4 przypadkach wydano również decyzję nakładające obowiązek uiszczenia kosztów badań laboratoryjnych w łącznej kwocie 14 039 zł.</w:t>
      </w:r>
    </w:p>
    <w:p w14:paraId="710F985F" w14:textId="77777777" w:rsidR="009E3C0E" w:rsidRPr="009E3C0E" w:rsidRDefault="009E3C0E" w:rsidP="009E3C0E">
      <w:pPr>
        <w:spacing w:after="120"/>
        <w:jc w:val="both"/>
        <w:rPr>
          <w:rFonts w:eastAsiaTheme="minorHAnsi"/>
          <w:lang w:eastAsia="en-US"/>
        </w:rPr>
      </w:pPr>
      <w:r w:rsidRPr="009E3C0E">
        <w:rPr>
          <w:color w:val="000000" w:themeColor="text1"/>
          <w:lang w:eastAsia="ar-SA"/>
        </w:rPr>
        <w:t xml:space="preserve">Ponadto w 1 przypadku w trakcie trwania kontroli jakości paliw stałych stwierdzono, że przedsiębiorca nie wystawiał, nie przekazywał, i nie przechowywał świadectw jakości paliw stałych w stosunku do podmiotów pośredniczących w sprzedaży węgla. W ramach wykonania założeń postanowienia przedsiębiorca sporządził i dostarczył świadectwa jakości podmiotom pośredniczącym w sprzedaży paliw stałych. </w:t>
      </w:r>
      <w:r w:rsidRPr="009E3C0E">
        <w:rPr>
          <w:lang w:eastAsia="ar-SA"/>
        </w:rPr>
        <w:t xml:space="preserve">W związku z tym </w:t>
      </w:r>
      <w:r w:rsidRPr="009E3C0E">
        <w:rPr>
          <w:rFonts w:eastAsiaTheme="minorHAnsi"/>
          <w:lang w:eastAsia="en-US"/>
        </w:rPr>
        <w:t>Podlaski Wojewódzki Inspektor Inspekcji Handlowej w Białymstoku odstąpił od nałożenia kary pieniężnej.</w:t>
      </w:r>
    </w:p>
    <w:p w14:paraId="73182CA8" w14:textId="79402222" w:rsidR="00B14982" w:rsidRDefault="009E3C0E" w:rsidP="00B14982">
      <w:pPr>
        <w:spacing w:after="240"/>
        <w:jc w:val="both"/>
        <w:rPr>
          <w:rFonts w:eastAsiaTheme="minorHAnsi"/>
          <w:lang w:eastAsia="en-US"/>
        </w:rPr>
      </w:pPr>
      <w:r w:rsidRPr="009E3C0E">
        <w:rPr>
          <w:rFonts w:eastAsiaTheme="minorHAnsi"/>
          <w:lang w:eastAsia="en-US"/>
        </w:rPr>
        <w:t>W trakcie kontroli jakości paliw ciekłych zakwestionowano jedną partię paliwa z uwagi na przekroczony parametr temperatura zapłonu. W związku z powyższym sprawę przekazano do Urzędu Regulacji Energetyki, Urzędu Celno-Skarbowego oraz do miejscowo właściwej prokuratury.</w:t>
      </w:r>
    </w:p>
    <w:p w14:paraId="2EB3A75C" w14:textId="23FF9D17" w:rsidR="00B14982" w:rsidRPr="00B14982" w:rsidRDefault="00B14982" w:rsidP="004A20DC">
      <w:pPr>
        <w:jc w:val="both"/>
      </w:pPr>
      <w:r w:rsidRPr="00B14982">
        <w:rPr>
          <w:rFonts w:eastAsiaTheme="minorHAnsi"/>
          <w:lang w:eastAsia="en-US"/>
        </w:rPr>
        <w:t xml:space="preserve">Na mocy rozporządzenia </w:t>
      </w:r>
      <w:bookmarkStart w:id="1" w:name="_Hlk127442703"/>
      <w:r w:rsidRPr="00B14982">
        <w:rPr>
          <w:rFonts w:eastAsiaTheme="minorHAnsi"/>
          <w:lang w:eastAsia="en-US"/>
        </w:rPr>
        <w:t xml:space="preserve">Ministra Klimatu i </w:t>
      </w:r>
      <w:r>
        <w:rPr>
          <w:rFonts w:eastAsiaTheme="minorHAnsi"/>
          <w:lang w:eastAsia="en-US"/>
        </w:rPr>
        <w:t>Ś</w:t>
      </w:r>
      <w:r w:rsidRPr="00B14982">
        <w:rPr>
          <w:rFonts w:eastAsiaTheme="minorHAnsi"/>
          <w:lang w:eastAsia="en-US"/>
        </w:rPr>
        <w:t xml:space="preserve">rodowiska </w:t>
      </w:r>
      <w:bookmarkEnd w:id="1"/>
      <w:r w:rsidRPr="00B14982">
        <w:rPr>
          <w:rFonts w:eastAsiaTheme="minorHAnsi"/>
          <w:lang w:eastAsia="en-US"/>
        </w:rPr>
        <w:t xml:space="preserve">z dnia 27 czerwca 2022 r. w sprawie odstąpienia od stosowania wymagań określonych w przepisach rozporządzenia w sprawie wymagań jakościowych dla paliw stałych </w:t>
      </w:r>
      <w:r w:rsidRPr="00B14982">
        <w:t>odstąpiono przez okres 60 dni od stosowania wymagań określonych w przepisach rozporządzenia Ministra Energii z dnia 27 września 2018 r. w sprawie wymagań jakościowych dla paliw stałych (Dz. U. poz. 1890).</w:t>
      </w:r>
      <w:r>
        <w:t xml:space="preserve"> Okres ten został przedłużony rozporządzeniem</w:t>
      </w:r>
      <w:r w:rsidRPr="00B14982">
        <w:rPr>
          <w:rFonts w:eastAsiaTheme="minorHAnsi"/>
          <w:lang w:eastAsia="en-US"/>
        </w:rPr>
        <w:t xml:space="preserve"> </w:t>
      </w:r>
      <w:bookmarkStart w:id="2" w:name="_Hlk127442823"/>
      <w:r w:rsidRPr="00B14982">
        <w:rPr>
          <w:rFonts w:eastAsiaTheme="minorHAnsi"/>
          <w:lang w:eastAsia="en-US"/>
        </w:rPr>
        <w:t xml:space="preserve">Ministra Klimatu i </w:t>
      </w:r>
      <w:r>
        <w:rPr>
          <w:rFonts w:eastAsiaTheme="minorHAnsi"/>
          <w:lang w:eastAsia="en-US"/>
        </w:rPr>
        <w:t>Ś</w:t>
      </w:r>
      <w:r w:rsidRPr="00B14982">
        <w:rPr>
          <w:rFonts w:eastAsiaTheme="minorHAnsi"/>
          <w:lang w:eastAsia="en-US"/>
        </w:rPr>
        <w:t>rodowiska</w:t>
      </w:r>
      <w:r>
        <w:t xml:space="preserve"> </w:t>
      </w:r>
      <w:bookmarkEnd w:id="2"/>
      <w:r>
        <w:t>z dnia 25 sierpnia 2022 r. na kolejne 60 dni, a następnie rozporządzeniem</w:t>
      </w:r>
      <w:r w:rsidR="004A20DC" w:rsidRPr="004A20DC">
        <w:t xml:space="preserve"> Ministra Klimatu i Środowiska</w:t>
      </w:r>
      <w:r>
        <w:t xml:space="preserve"> z dnia 24 października 2022 r.</w:t>
      </w:r>
      <w:r w:rsidR="004A20DC">
        <w:t xml:space="preserve"> – do 30 kwietnia 2023 r. </w:t>
      </w:r>
    </w:p>
    <w:p w14:paraId="4F2E4F64" w14:textId="6891B4C9" w:rsidR="007D76BB" w:rsidRPr="00B14982" w:rsidRDefault="004A20DC" w:rsidP="00B14982">
      <w:pPr>
        <w:spacing w:after="120"/>
        <w:jc w:val="both"/>
      </w:pPr>
      <w:r>
        <w:lastRenderedPageBreak/>
        <w:t>W</w:t>
      </w:r>
      <w:r w:rsidR="00786F31" w:rsidRPr="00B14982">
        <w:t xml:space="preserve"> związku z </w:t>
      </w:r>
      <w:r>
        <w:t>powyższym</w:t>
      </w:r>
      <w:r w:rsidR="00786F31" w:rsidRPr="00B14982">
        <w:t>, od</w:t>
      </w:r>
      <w:r w:rsidR="0008694F">
        <w:t xml:space="preserve"> dnia wejścia w życie pierwszego z wymienionych wyżej rozporządzeń, tj. od</w:t>
      </w:r>
      <w:r w:rsidR="00786F31" w:rsidRPr="00B14982">
        <w:t xml:space="preserve"> </w:t>
      </w:r>
      <w:r>
        <w:t>29 czerwca 2022 r.</w:t>
      </w:r>
      <w:r w:rsidR="00786F31" w:rsidRPr="00B14982">
        <w:t xml:space="preserve"> nie są pobierane i badane próbki</w:t>
      </w:r>
      <w:r>
        <w:t xml:space="preserve"> paliw stałych.</w:t>
      </w:r>
    </w:p>
    <w:p w14:paraId="0C94A19B" w14:textId="7B9BB181" w:rsidR="00786F31" w:rsidRPr="00B14982" w:rsidRDefault="00786F31" w:rsidP="00F377D9">
      <w:pPr>
        <w:widowControl w:val="0"/>
        <w:autoSpaceDE w:val="0"/>
        <w:autoSpaceDN w:val="0"/>
        <w:adjustRightInd w:val="0"/>
        <w:jc w:val="both"/>
      </w:pPr>
    </w:p>
    <w:p w14:paraId="62864996" w14:textId="5E4104C7" w:rsidR="007D76BB" w:rsidRDefault="009E3C0E" w:rsidP="00F377D9">
      <w:pPr>
        <w:widowControl w:val="0"/>
        <w:autoSpaceDE w:val="0"/>
        <w:autoSpaceDN w:val="0"/>
        <w:adjustRightInd w:val="0"/>
        <w:jc w:val="both"/>
        <w:rPr>
          <w:rFonts w:eastAsia="Times New Roman"/>
          <w:b/>
          <w:bCs/>
        </w:rPr>
      </w:pPr>
      <w:r>
        <w:rPr>
          <w:rFonts w:eastAsia="Times New Roman"/>
          <w:b/>
          <w:bCs/>
        </w:rPr>
        <w:t>2</w:t>
      </w:r>
      <w:r w:rsidR="00A0065F">
        <w:rPr>
          <w:rFonts w:eastAsia="Times New Roman"/>
          <w:b/>
          <w:bCs/>
        </w:rPr>
        <w:t xml:space="preserve">) </w:t>
      </w:r>
      <w:r w:rsidR="007D76BB" w:rsidRPr="00856DF7">
        <w:rPr>
          <w:rFonts w:eastAsia="Times New Roman"/>
          <w:b/>
          <w:bCs/>
        </w:rPr>
        <w:t>Kontrola świadectw jakości paliw stałych</w:t>
      </w:r>
    </w:p>
    <w:p w14:paraId="2AB01042" w14:textId="529CC1DE" w:rsidR="001E2135" w:rsidRPr="00856DF7" w:rsidRDefault="001E2135" w:rsidP="00F377D9">
      <w:pPr>
        <w:widowControl w:val="0"/>
        <w:autoSpaceDE w:val="0"/>
        <w:autoSpaceDN w:val="0"/>
        <w:adjustRightInd w:val="0"/>
        <w:jc w:val="both"/>
        <w:rPr>
          <w:rFonts w:eastAsia="Times New Roman"/>
          <w:b/>
          <w:bCs/>
        </w:rPr>
      </w:pPr>
    </w:p>
    <w:p w14:paraId="2A5B4074" w14:textId="0A53C004" w:rsidR="000560F1" w:rsidRPr="00BD3B75" w:rsidRDefault="000560F1" w:rsidP="000560F1">
      <w:pPr>
        <w:widowControl w:val="0"/>
        <w:autoSpaceDE w:val="0"/>
        <w:autoSpaceDN w:val="0"/>
        <w:adjustRightInd w:val="0"/>
        <w:spacing w:after="120"/>
        <w:jc w:val="both"/>
        <w:rPr>
          <w:rFonts w:eastAsia="Times New Roman"/>
        </w:rPr>
      </w:pPr>
      <w:r w:rsidRPr="00856DF7">
        <w:rPr>
          <w:rFonts w:eastAsia="Times New Roman"/>
        </w:rPr>
        <w:t xml:space="preserve">W trakcie </w:t>
      </w:r>
      <w:r>
        <w:rPr>
          <w:rFonts w:eastAsia="Times New Roman"/>
          <w:b/>
        </w:rPr>
        <w:t>21</w:t>
      </w:r>
      <w:r w:rsidRPr="001E2135">
        <w:rPr>
          <w:rFonts w:eastAsia="Times New Roman"/>
          <w:b/>
        </w:rPr>
        <w:t xml:space="preserve"> kontroli</w:t>
      </w:r>
      <w:r w:rsidRPr="00856DF7">
        <w:rPr>
          <w:rFonts w:eastAsia="Times New Roman"/>
        </w:rPr>
        <w:t xml:space="preserve"> dokonano sprawdzenia realizacji obowiązku wystawiania świadectw jakości </w:t>
      </w:r>
      <w:r>
        <w:rPr>
          <w:rFonts w:eastAsia="Times New Roman"/>
        </w:rPr>
        <w:t>paliw stałych</w:t>
      </w:r>
      <w:r w:rsidRPr="00856DF7">
        <w:rPr>
          <w:rFonts w:eastAsia="Times New Roman"/>
        </w:rPr>
        <w:t xml:space="preserve">. </w:t>
      </w:r>
      <w:r w:rsidRPr="00BD3B75">
        <w:rPr>
          <w:rFonts w:eastAsia="Times New Roman"/>
        </w:rPr>
        <w:t xml:space="preserve">Nieprawidłowości stwierdzono w </w:t>
      </w:r>
      <w:r w:rsidRPr="00BD3B75">
        <w:rPr>
          <w:rFonts w:eastAsia="Times New Roman"/>
          <w:b/>
        </w:rPr>
        <w:t>17 placówkach</w:t>
      </w:r>
      <w:r w:rsidRPr="00BD3B75">
        <w:rPr>
          <w:rFonts w:eastAsia="Times New Roman"/>
        </w:rPr>
        <w:t>, co stanowi 81% wszystkich skontrolowanych podmiotów.</w:t>
      </w:r>
    </w:p>
    <w:p w14:paraId="2ABC5603" w14:textId="5752098E" w:rsidR="000560F1" w:rsidRPr="000560F1" w:rsidRDefault="000560F1" w:rsidP="0008694F">
      <w:pPr>
        <w:spacing w:after="120"/>
        <w:jc w:val="both"/>
        <w:rPr>
          <w:rFonts w:eastAsiaTheme="minorHAnsi"/>
          <w:lang w:eastAsia="en-US"/>
        </w:rPr>
      </w:pPr>
      <w:r w:rsidRPr="000560F1">
        <w:rPr>
          <w:rFonts w:eastAsia="Times New Roman"/>
        </w:rPr>
        <w:t>W</w:t>
      </w:r>
      <w:r w:rsidRPr="000560F1">
        <w:rPr>
          <w:lang w:eastAsia="ar-SA"/>
        </w:rPr>
        <w:t xml:space="preserve"> 6 przypadkach stwierdzono, że przedsiębiorcy nie wystawiali, nie przekazywali i nie przechowywali świadectw jakości paliw stałych. W związku z tym Podlaski Wojewódzki Inspektor Inspekcji Handlowej w Białymstoku </w:t>
      </w:r>
      <w:r w:rsidRPr="000560F1">
        <w:rPr>
          <w:rFonts w:eastAsiaTheme="minorHAnsi"/>
          <w:lang w:eastAsia="en-US"/>
        </w:rPr>
        <w:t>nałożył na kontrolowanych kary pieniężne o łącznej wartości 105 300 zł.</w:t>
      </w:r>
      <w:r w:rsidRPr="000560F1">
        <w:rPr>
          <w:rFonts w:eastAsiaTheme="minorHAnsi"/>
          <w:b/>
          <w:lang w:eastAsia="en-US"/>
        </w:rPr>
        <w:t xml:space="preserve">  </w:t>
      </w:r>
    </w:p>
    <w:p w14:paraId="6D4E328E" w14:textId="34DACE17" w:rsidR="00E80632" w:rsidRPr="008924E7" w:rsidRDefault="00E80632" w:rsidP="00F377D9">
      <w:pPr>
        <w:widowControl w:val="0"/>
        <w:suppressAutoHyphens/>
        <w:jc w:val="both"/>
        <w:rPr>
          <w:rFonts w:eastAsia="HG Mincho Light J"/>
          <w:b/>
          <w:bCs/>
        </w:rPr>
      </w:pPr>
    </w:p>
    <w:p w14:paraId="66AF189E" w14:textId="4E9EB217" w:rsidR="00E80632" w:rsidRDefault="002D4ED7" w:rsidP="00F377D9">
      <w:pPr>
        <w:widowControl w:val="0"/>
        <w:suppressAutoHyphens/>
        <w:jc w:val="both"/>
        <w:rPr>
          <w:rFonts w:eastAsia="HG Mincho Light J"/>
          <w:b/>
          <w:bCs/>
        </w:rPr>
      </w:pPr>
      <w:r>
        <w:rPr>
          <w:rFonts w:eastAsia="HG Mincho Light J"/>
          <w:b/>
          <w:bCs/>
        </w:rPr>
        <w:t>3</w:t>
      </w:r>
      <w:r w:rsidR="00A0065F">
        <w:rPr>
          <w:rFonts w:eastAsia="HG Mincho Light J"/>
          <w:b/>
          <w:bCs/>
        </w:rPr>
        <w:t xml:space="preserve">) </w:t>
      </w:r>
      <w:r w:rsidR="00E80632" w:rsidRPr="00856DF7">
        <w:rPr>
          <w:rFonts w:eastAsia="HG Mincho Light J"/>
          <w:b/>
          <w:bCs/>
        </w:rPr>
        <w:t>Obszar nadzoru rynku</w:t>
      </w:r>
      <w:bookmarkStart w:id="3" w:name="_Hlk62033535"/>
    </w:p>
    <w:bookmarkEnd w:id="3"/>
    <w:p w14:paraId="2564A129" w14:textId="435E8D04" w:rsidR="002D4ED7" w:rsidRDefault="002D4ED7" w:rsidP="002D4ED7">
      <w:pPr>
        <w:jc w:val="both"/>
        <w:rPr>
          <w:rFonts w:eastAsia="HG Mincho Light J"/>
        </w:rPr>
      </w:pPr>
    </w:p>
    <w:p w14:paraId="45D75C89" w14:textId="28043562" w:rsidR="002D4ED7" w:rsidRPr="00856DF7" w:rsidRDefault="002D4ED7" w:rsidP="002D4ED7">
      <w:pPr>
        <w:jc w:val="both"/>
      </w:pPr>
      <w:r w:rsidRPr="00856DF7">
        <w:rPr>
          <w:rFonts w:eastAsia="HG Mincho Light J"/>
        </w:rPr>
        <w:t xml:space="preserve">Przeprowadzono </w:t>
      </w:r>
      <w:r>
        <w:rPr>
          <w:rFonts w:eastAsia="HG Mincho Light J"/>
          <w:b/>
        </w:rPr>
        <w:t>54</w:t>
      </w:r>
      <w:r w:rsidRPr="001E2135">
        <w:rPr>
          <w:rFonts w:eastAsia="HG Mincho Light J"/>
          <w:b/>
        </w:rPr>
        <w:t xml:space="preserve"> kontrole</w:t>
      </w:r>
      <w:r w:rsidRPr="00856DF7">
        <w:rPr>
          <w:rFonts w:eastAsia="HG Mincho Light J"/>
        </w:rPr>
        <w:t xml:space="preserve">, obejmując sprawdzeniem </w:t>
      </w:r>
      <w:r>
        <w:rPr>
          <w:rFonts w:eastAsia="HG Mincho Light J"/>
          <w:b/>
        </w:rPr>
        <w:t>86</w:t>
      </w:r>
      <w:r w:rsidRPr="001E2135">
        <w:rPr>
          <w:rFonts w:eastAsia="HG Mincho Light J"/>
          <w:b/>
        </w:rPr>
        <w:t xml:space="preserve"> partii produktów</w:t>
      </w:r>
      <w:r w:rsidRPr="00856DF7">
        <w:rPr>
          <w:rFonts w:eastAsia="HG Mincho Light J"/>
        </w:rPr>
        <w:t xml:space="preserve">, z czego </w:t>
      </w:r>
      <w:r>
        <w:rPr>
          <w:rFonts w:eastAsia="HG Mincho Light J"/>
        </w:rPr>
        <w:t>z</w:t>
      </w:r>
      <w:r w:rsidRPr="00856DF7">
        <w:rPr>
          <w:rFonts w:eastAsia="HG Mincho Light J"/>
        </w:rPr>
        <w:t xml:space="preserve">akwestionowano </w:t>
      </w:r>
      <w:r w:rsidRPr="001E2135">
        <w:rPr>
          <w:rFonts w:eastAsia="HG Mincho Light J"/>
          <w:b/>
        </w:rPr>
        <w:t>6</w:t>
      </w:r>
      <w:r>
        <w:rPr>
          <w:rFonts w:eastAsia="HG Mincho Light J"/>
          <w:b/>
        </w:rPr>
        <w:t>1</w:t>
      </w:r>
      <w:r w:rsidRPr="001E2135">
        <w:rPr>
          <w:rFonts w:eastAsia="HG Mincho Light J"/>
          <w:b/>
        </w:rPr>
        <w:t xml:space="preserve"> parti</w:t>
      </w:r>
      <w:r>
        <w:rPr>
          <w:rFonts w:eastAsia="HG Mincho Light J"/>
          <w:b/>
        </w:rPr>
        <w:t>i</w:t>
      </w:r>
      <w:r>
        <w:rPr>
          <w:rFonts w:eastAsia="HG Mincho Light J"/>
        </w:rPr>
        <w:t xml:space="preserve"> (71</w:t>
      </w:r>
      <w:r w:rsidRPr="00856DF7">
        <w:rPr>
          <w:rFonts w:eastAsia="HG Mincho Light J"/>
        </w:rPr>
        <w:t>% skontrolowanych</w:t>
      </w:r>
      <w:r w:rsidR="008C3AE4">
        <w:rPr>
          <w:rFonts w:eastAsia="HG Mincho Light J"/>
        </w:rPr>
        <w:t>, w 2021 r. – 64%</w:t>
      </w:r>
      <w:r>
        <w:rPr>
          <w:rFonts w:eastAsia="HG Mincho Light J"/>
        </w:rPr>
        <w:t>)</w:t>
      </w:r>
      <w:r w:rsidRPr="00856DF7">
        <w:rPr>
          <w:rFonts w:eastAsia="HG Mincho Light J"/>
        </w:rPr>
        <w:t>.</w:t>
      </w:r>
      <w:r w:rsidRPr="00856DF7">
        <w:t xml:space="preserve"> </w:t>
      </w:r>
    </w:p>
    <w:p w14:paraId="7205DE17" w14:textId="5DC94180" w:rsidR="002D4ED7" w:rsidRDefault="002D4ED7" w:rsidP="002D4ED7">
      <w:pPr>
        <w:jc w:val="both"/>
      </w:pPr>
      <w:r w:rsidRPr="00856DF7">
        <w:t xml:space="preserve">Do badań laboratoryjnych przekazano </w:t>
      </w:r>
      <w:r w:rsidRPr="001E2135">
        <w:rPr>
          <w:b/>
        </w:rPr>
        <w:t>4</w:t>
      </w:r>
      <w:r>
        <w:rPr>
          <w:b/>
        </w:rPr>
        <w:t>7</w:t>
      </w:r>
      <w:r w:rsidRPr="001E2135">
        <w:rPr>
          <w:b/>
        </w:rPr>
        <w:t xml:space="preserve"> prób</w:t>
      </w:r>
      <w:r>
        <w:rPr>
          <w:b/>
        </w:rPr>
        <w:t>ek</w:t>
      </w:r>
      <w:r w:rsidRPr="00856DF7">
        <w:t xml:space="preserve">, z czego zakwestionowano </w:t>
      </w:r>
      <w:r w:rsidRPr="001E2135">
        <w:rPr>
          <w:b/>
        </w:rPr>
        <w:t>1</w:t>
      </w:r>
      <w:r>
        <w:rPr>
          <w:b/>
        </w:rPr>
        <w:t xml:space="preserve">5 </w:t>
      </w:r>
      <w:r w:rsidRPr="001E2135">
        <w:t>z uwagi na ujawnienie</w:t>
      </w:r>
      <w:r>
        <w:rPr>
          <w:b/>
        </w:rPr>
        <w:t xml:space="preserve"> </w:t>
      </w:r>
      <w:r w:rsidRPr="001E2135">
        <w:t>niezgodno</w:t>
      </w:r>
      <w:r w:rsidR="008A3A1E">
        <w:t>ści z wymaganiami dyrektyw UE</w:t>
      </w:r>
      <w:r>
        <w:t xml:space="preserve"> (</w:t>
      </w:r>
      <w:r w:rsidRPr="00EB19CF">
        <w:t>32%</w:t>
      </w:r>
      <w:r>
        <w:t>)</w:t>
      </w:r>
      <w:r w:rsidRPr="00856DF7">
        <w:t>.</w:t>
      </w:r>
      <w:r w:rsidR="008A3A1E">
        <w:t xml:space="preserve"> W 2021 r. zbadano 42 próbki, z czego zakwestionowano 16 (30%).</w:t>
      </w:r>
    </w:p>
    <w:p w14:paraId="66260EE4" w14:textId="5C330CD7" w:rsidR="002D4ED7" w:rsidRPr="00856DF7" w:rsidRDefault="002D4ED7" w:rsidP="002D4ED7">
      <w:pPr>
        <w:jc w:val="both"/>
      </w:pPr>
    </w:p>
    <w:p w14:paraId="5D162874" w14:textId="5F7AAD60" w:rsidR="002D4ED7" w:rsidRPr="00540531" w:rsidRDefault="002D4ED7" w:rsidP="002D4ED7">
      <w:pPr>
        <w:widowControl w:val="0"/>
        <w:suppressAutoHyphens/>
        <w:jc w:val="both"/>
        <w:rPr>
          <w:rFonts w:eastAsia="HG Mincho Light J"/>
          <w:i/>
          <w:iCs/>
          <w:u w:val="single"/>
        </w:rPr>
      </w:pPr>
      <w:r w:rsidRPr="00540531">
        <w:rPr>
          <w:rFonts w:eastAsia="HG Mincho Light J"/>
          <w:i/>
          <w:iCs/>
          <w:u w:val="single"/>
        </w:rPr>
        <w:t xml:space="preserve">Przykłady: </w:t>
      </w:r>
    </w:p>
    <w:p w14:paraId="361ACBFF" w14:textId="014568FA" w:rsidR="002D4ED7" w:rsidRPr="000D6E9F" w:rsidRDefault="000C5C3B" w:rsidP="002D4ED7">
      <w:pPr>
        <w:pStyle w:val="Akapitzlist"/>
        <w:widowControl w:val="0"/>
        <w:numPr>
          <w:ilvl w:val="0"/>
          <w:numId w:val="25"/>
        </w:numPr>
        <w:spacing w:after="120" w:line="240" w:lineRule="auto"/>
        <w:ind w:left="426" w:hanging="426"/>
        <w:jc w:val="both"/>
        <w:rPr>
          <w:rFonts w:ascii="Times New Roman" w:eastAsia="Batang" w:hAnsi="Times New Roman"/>
          <w:b/>
          <w:lang w:eastAsia="pl-PL"/>
        </w:rPr>
      </w:pPr>
      <w:r w:rsidRPr="00856DF7">
        <w:rPr>
          <w:rFonts w:eastAsia="HG Mincho Light J"/>
          <w:b/>
          <w:bCs/>
          <w:noProof/>
          <w:color w:val="FF0000"/>
          <w:lang w:eastAsia="pl-PL"/>
        </w:rPr>
        <w:drawing>
          <wp:anchor distT="0" distB="0" distL="114300" distR="114300" simplePos="0" relativeHeight="251661824" behindDoc="1" locked="0" layoutInCell="1" allowOverlap="1" wp14:anchorId="5B225019" wp14:editId="47CEAD00">
            <wp:simplePos x="0" y="0"/>
            <wp:positionH relativeFrom="margin">
              <wp:posOffset>3528695</wp:posOffset>
            </wp:positionH>
            <wp:positionV relativeFrom="margin">
              <wp:posOffset>4109720</wp:posOffset>
            </wp:positionV>
            <wp:extent cx="2324100" cy="2657475"/>
            <wp:effectExtent l="0" t="0" r="0" b="9525"/>
            <wp:wrapTight wrapText="bothSides">
              <wp:wrapPolygon edited="0">
                <wp:start x="0" y="0"/>
                <wp:lineTo x="0" y="21523"/>
                <wp:lineTo x="21423" y="21523"/>
                <wp:lineTo x="21423" y="0"/>
                <wp:lineTo x="0" y="0"/>
              </wp:wrapPolygon>
            </wp:wrapTight>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D4ED7" w:rsidRPr="000D6E9F">
        <w:rPr>
          <w:rFonts w:ascii="Times New Roman" w:hAnsi="Times New Roman"/>
          <w:i/>
          <w:iCs/>
        </w:rPr>
        <w:t>Zakwestionowano 1 kocioł na paliwo stałe. W</w:t>
      </w:r>
      <w:r w:rsidR="002D4ED7" w:rsidRPr="000D6E9F">
        <w:rPr>
          <w:rFonts w:ascii="Times New Roman" w:eastAsia="HG Mincho Light J" w:hAnsi="Times New Roman"/>
          <w:i/>
          <w:iCs/>
        </w:rPr>
        <w:t xml:space="preserve"> trakcie badania laboratoryjnego ustalono, że kocioł </w:t>
      </w:r>
      <w:r w:rsidR="002D4ED7" w:rsidRPr="000D6E9F">
        <w:rPr>
          <w:rFonts w:ascii="Times New Roman" w:hAnsi="Times New Roman"/>
          <w:bCs/>
          <w:i/>
          <w:iCs/>
        </w:rPr>
        <w:t>stwarza poważne zagrożenie dla środowi</w:t>
      </w:r>
      <w:r w:rsidR="00FE38C1">
        <w:rPr>
          <w:rFonts w:ascii="Times New Roman" w:hAnsi="Times New Roman"/>
          <w:bCs/>
          <w:i/>
          <w:iCs/>
        </w:rPr>
        <w:t>ska i zdrowia ludzi (</w:t>
      </w:r>
      <w:r w:rsidR="002D4ED7" w:rsidRPr="000D6E9F">
        <w:rPr>
          <w:rFonts w:ascii="Times New Roman" w:hAnsi="Times New Roman"/>
          <w:bCs/>
          <w:i/>
          <w:iCs/>
        </w:rPr>
        <w:t xml:space="preserve"> przyczynia się do powstania smogu, który jest szkodliwy dla zdrowia a w dłuższej perspektywie zagraża życiu ludzi oraz wpływa negatywnie na jakość powietrza, którym oni oddychają). W związku z tym sprawę przekazano do Prezesa UOKiK w celu dalszego postępowania</w:t>
      </w:r>
      <w:r w:rsidR="002D4ED7" w:rsidRPr="000D6E9F">
        <w:rPr>
          <w:bCs/>
          <w:i/>
          <w:iCs/>
        </w:rPr>
        <w:t xml:space="preserve"> </w:t>
      </w:r>
      <w:r w:rsidR="002D4ED7" w:rsidRPr="000D6E9F">
        <w:rPr>
          <w:rFonts w:ascii="Times New Roman" w:hAnsi="Times New Roman"/>
          <w:bCs/>
          <w:i/>
          <w:iCs/>
        </w:rPr>
        <w:t>oraz do miejscowo właściwej prokuratury.</w:t>
      </w:r>
      <w:r w:rsidR="002D4ED7" w:rsidRPr="000D6E9F">
        <w:rPr>
          <w:rFonts w:ascii="Times New Roman" w:eastAsia="HG Mincho Light J" w:hAnsi="Times New Roman"/>
          <w:i/>
          <w:iCs/>
          <w:color w:val="FF0000"/>
        </w:rPr>
        <w:t xml:space="preserve">  </w:t>
      </w:r>
    </w:p>
    <w:p w14:paraId="4A3BFE40" w14:textId="5368CD1D" w:rsidR="002D4ED7" w:rsidRPr="000D6E9F" w:rsidRDefault="002D4ED7" w:rsidP="002D4ED7">
      <w:pPr>
        <w:numPr>
          <w:ilvl w:val="0"/>
          <w:numId w:val="14"/>
        </w:numPr>
        <w:suppressAutoHyphens/>
        <w:spacing w:after="120"/>
        <w:ind w:left="425" w:hanging="425"/>
        <w:jc w:val="both"/>
        <w:rPr>
          <w:rFonts w:eastAsia="HG Mincho Light J"/>
          <w:i/>
          <w:iCs/>
          <w:sz w:val="22"/>
          <w:szCs w:val="22"/>
          <w:lang w:eastAsia="ar-SA"/>
        </w:rPr>
      </w:pPr>
      <w:r w:rsidRPr="000D6E9F">
        <w:rPr>
          <w:rFonts w:eastAsia="HG Mincho Light J"/>
          <w:i/>
          <w:iCs/>
          <w:sz w:val="22"/>
          <w:szCs w:val="22"/>
          <w:lang w:eastAsia="ar-SA"/>
        </w:rPr>
        <w:t xml:space="preserve">Zakwestionowano 4 partie opraw oświetleniowych w związku z wadami konstrukcyjnymi ujawnionymi w trakcie badań laboratoryjnych. We wszystkich przypadkach wady powodowały poważne ryzyko porażenia prądem. W związku z tym wycofano ze sprzedaży oprawy oświetleniowe znajdujące się na stanach magazynowych kontrolowanych firm, a sprawy przekazano do Prezesa UOKiK w celu dalszego postępowania. </w:t>
      </w:r>
    </w:p>
    <w:p w14:paraId="7A95AD32" w14:textId="3D1D47A5" w:rsidR="002D4ED7" w:rsidRPr="000D6E9F" w:rsidRDefault="002D4ED7" w:rsidP="002D4ED7">
      <w:pPr>
        <w:numPr>
          <w:ilvl w:val="0"/>
          <w:numId w:val="26"/>
        </w:numPr>
        <w:spacing w:after="120"/>
        <w:ind w:left="426" w:hanging="426"/>
        <w:jc w:val="both"/>
        <w:rPr>
          <w:i/>
          <w:sz w:val="22"/>
          <w:szCs w:val="22"/>
        </w:rPr>
      </w:pPr>
      <w:r w:rsidRPr="000D6E9F">
        <w:rPr>
          <w:rFonts w:eastAsia="Calibri"/>
          <w:bCs/>
          <w:i/>
          <w:iCs/>
          <w:sz w:val="22"/>
          <w:szCs w:val="22"/>
          <w:lang w:eastAsia="ar-SA"/>
        </w:rPr>
        <w:t xml:space="preserve">W trakcie kontroli bezpieczeństwa zabawek zakwestionowano 7 partii zabawek z uwagi na negatywne wyniki </w:t>
      </w:r>
      <w:r w:rsidRPr="000D6E9F">
        <w:rPr>
          <w:rFonts w:eastAsia="HG Mincho Light J"/>
          <w:i/>
          <w:iCs/>
          <w:sz w:val="22"/>
          <w:szCs w:val="22"/>
          <w:lang w:eastAsia="ar-SA"/>
        </w:rPr>
        <w:t xml:space="preserve">badań laboratoryjnych (24%  zbadanych). W zabawce (mata edukacyjna) stwierdzono </w:t>
      </w:r>
      <w:r w:rsidRPr="000D6E9F">
        <w:rPr>
          <w:i/>
          <w:sz w:val="22"/>
          <w:szCs w:val="22"/>
        </w:rPr>
        <w:t>zaniżoną grubość folii opakowania zabawki, co stwarza ryzyko odcięcia dopływu powietrza oraz uduszenia przez zewnętrzne zatkanie dróg oddechowych przez usta i nos</w:t>
      </w:r>
      <w:r w:rsidRPr="000D6E9F">
        <w:rPr>
          <w:rFonts w:eastAsia="HG Mincho Light J"/>
          <w:i/>
          <w:iCs/>
          <w:sz w:val="22"/>
          <w:szCs w:val="22"/>
          <w:lang w:eastAsia="ar-SA"/>
        </w:rPr>
        <w:t xml:space="preserve">. Zabawka (grzechotka zawieszka) nie spełniała wymagań </w:t>
      </w:r>
      <w:r w:rsidRPr="000D6E9F">
        <w:rPr>
          <w:i/>
          <w:iCs/>
          <w:sz w:val="22"/>
          <w:szCs w:val="22"/>
        </w:rPr>
        <w:t>z uwagi na niewłaściwy kształt i rozmiar zabawki, co może stwarzać ryzyko uduszenia</w:t>
      </w:r>
      <w:r w:rsidRPr="000D6E9F">
        <w:rPr>
          <w:bCs/>
          <w:iCs/>
          <w:sz w:val="22"/>
          <w:szCs w:val="22"/>
        </w:rPr>
        <w:t xml:space="preserve">. </w:t>
      </w:r>
      <w:r w:rsidRPr="000D6E9F">
        <w:rPr>
          <w:bCs/>
          <w:i/>
          <w:sz w:val="22"/>
          <w:szCs w:val="22"/>
        </w:rPr>
        <w:t>Zabawkę (grzechotka spirala) zakwestionowano</w:t>
      </w:r>
      <w:r w:rsidRPr="000D6E9F">
        <w:rPr>
          <w:bCs/>
          <w:iCs/>
          <w:sz w:val="22"/>
          <w:szCs w:val="22"/>
        </w:rPr>
        <w:t xml:space="preserve"> </w:t>
      </w:r>
      <w:r w:rsidRPr="000D6E9F">
        <w:rPr>
          <w:i/>
          <w:sz w:val="22"/>
          <w:szCs w:val="22"/>
        </w:rPr>
        <w:t>z uwagi na obecność dwóch linek stwarzających możliwość zaplątania, które mogą zaplątać się wokół szyi, stwarzając ryzyko uduszenia.</w:t>
      </w:r>
      <w:r w:rsidRPr="000D6E9F">
        <w:rPr>
          <w:bCs/>
          <w:iCs/>
          <w:sz w:val="22"/>
          <w:szCs w:val="22"/>
        </w:rPr>
        <w:t xml:space="preserve"> </w:t>
      </w:r>
      <w:r w:rsidRPr="000D6E9F">
        <w:rPr>
          <w:bCs/>
          <w:i/>
          <w:sz w:val="22"/>
          <w:szCs w:val="22"/>
        </w:rPr>
        <w:t>W zabawce (piłeczka)</w:t>
      </w:r>
      <w:r w:rsidRPr="004B2CDD">
        <w:rPr>
          <w:bCs/>
          <w:i/>
        </w:rPr>
        <w:t xml:space="preserve"> stwierdzono</w:t>
      </w:r>
      <w:r w:rsidRPr="004B2CDD">
        <w:rPr>
          <w:bCs/>
          <w:iCs/>
        </w:rPr>
        <w:t xml:space="preserve"> </w:t>
      </w:r>
      <w:r w:rsidRPr="004B2CDD">
        <w:rPr>
          <w:i/>
        </w:rPr>
        <w:t xml:space="preserve">przekroczony dopuszczalny poziom ciśnienia akustycznego emisji skorygowany charakterystyką C oraz pęknięcie obudowy, co stwarza zagrożenie pojawienia się małych elementów </w:t>
      </w:r>
      <w:r>
        <w:rPr>
          <w:i/>
        </w:rPr>
        <w:t>g</w:t>
      </w:r>
      <w:r w:rsidRPr="004B2CDD">
        <w:rPr>
          <w:i/>
        </w:rPr>
        <w:t xml:space="preserve">rzechoczących co może </w:t>
      </w:r>
      <w:r w:rsidRPr="000D6E9F">
        <w:rPr>
          <w:i/>
          <w:sz w:val="22"/>
          <w:szCs w:val="22"/>
        </w:rPr>
        <w:t xml:space="preserve">powodować uszkodzenie słuchu oraz stwarzać ryzyko uduszenia użytkownika. W zabawce </w:t>
      </w:r>
      <w:r w:rsidRPr="000D6E9F">
        <w:rPr>
          <w:i/>
          <w:sz w:val="22"/>
          <w:szCs w:val="22"/>
        </w:rPr>
        <w:lastRenderedPageBreak/>
        <w:t>(</w:t>
      </w:r>
      <w:proofErr w:type="spellStart"/>
      <w:r w:rsidRPr="000D6E9F">
        <w:rPr>
          <w:i/>
          <w:sz w:val="22"/>
          <w:szCs w:val="22"/>
        </w:rPr>
        <w:t>littel</w:t>
      </w:r>
      <w:proofErr w:type="spellEnd"/>
      <w:r w:rsidRPr="000D6E9F">
        <w:rPr>
          <w:i/>
          <w:sz w:val="22"/>
          <w:szCs w:val="22"/>
        </w:rPr>
        <w:t xml:space="preserve"> </w:t>
      </w:r>
      <w:proofErr w:type="spellStart"/>
      <w:r w:rsidRPr="000D6E9F">
        <w:rPr>
          <w:i/>
          <w:sz w:val="22"/>
          <w:szCs w:val="22"/>
        </w:rPr>
        <w:t>dutch</w:t>
      </w:r>
      <w:proofErr w:type="spellEnd"/>
      <w:r w:rsidRPr="000D6E9F">
        <w:rPr>
          <w:i/>
          <w:sz w:val="22"/>
          <w:szCs w:val="22"/>
        </w:rPr>
        <w:t>) stwierdzono dostęp do wypełnienia z materiału włókienniczego.</w:t>
      </w:r>
      <w:r w:rsidRPr="000D6E9F">
        <w:rPr>
          <w:rFonts w:ascii="Cambria" w:hAnsi="Cambria"/>
          <w:bCs/>
          <w:iCs/>
          <w:sz w:val="22"/>
          <w:szCs w:val="22"/>
        </w:rPr>
        <w:t xml:space="preserve"> </w:t>
      </w:r>
      <w:r w:rsidRPr="000D6E9F">
        <w:rPr>
          <w:bCs/>
          <w:i/>
          <w:sz w:val="22"/>
          <w:szCs w:val="22"/>
        </w:rPr>
        <w:t>W związku z powyższym użytkownik może odgryźć lub oderwać kawałki wypełnienia, co może powodować powstanie małych części, stwarzając tym samym ryzyko uduszenia. W zabawce (</w:t>
      </w:r>
      <w:proofErr w:type="spellStart"/>
      <w:r w:rsidRPr="000D6E9F">
        <w:rPr>
          <w:bCs/>
          <w:i/>
          <w:sz w:val="22"/>
          <w:szCs w:val="22"/>
        </w:rPr>
        <w:t>kacaki</w:t>
      </w:r>
      <w:proofErr w:type="spellEnd"/>
      <w:r w:rsidRPr="000D6E9F">
        <w:rPr>
          <w:bCs/>
          <w:i/>
          <w:sz w:val="22"/>
          <w:szCs w:val="22"/>
        </w:rPr>
        <w:t xml:space="preserve"> gumowe) stwierdzono </w:t>
      </w:r>
      <w:r w:rsidRPr="000D6E9F">
        <w:rPr>
          <w:i/>
          <w:iCs/>
          <w:sz w:val="22"/>
          <w:szCs w:val="22"/>
        </w:rPr>
        <w:t xml:space="preserve">obecność niebezpiecznej substancji chemicznej: </w:t>
      </w:r>
      <w:proofErr w:type="spellStart"/>
      <w:r w:rsidRPr="000D6E9F">
        <w:rPr>
          <w:i/>
          <w:iCs/>
          <w:sz w:val="22"/>
          <w:szCs w:val="22"/>
        </w:rPr>
        <w:t>ftalanu</w:t>
      </w:r>
      <w:proofErr w:type="spellEnd"/>
      <w:r w:rsidRPr="000D6E9F">
        <w:rPr>
          <w:i/>
          <w:iCs/>
          <w:sz w:val="22"/>
          <w:szCs w:val="22"/>
        </w:rPr>
        <w:t xml:space="preserve"> bis (2-etyloheksylu) (DEHP) </w:t>
      </w:r>
      <w:r w:rsidRPr="000D6E9F">
        <w:rPr>
          <w:bCs/>
          <w:i/>
          <w:sz w:val="22"/>
          <w:szCs w:val="22"/>
        </w:rPr>
        <w:t>w ilości przekraczającej dozwolony limit. Zabawkę (</w:t>
      </w:r>
      <w:proofErr w:type="spellStart"/>
      <w:r w:rsidRPr="000D6E9F">
        <w:rPr>
          <w:bCs/>
          <w:i/>
          <w:sz w:val="22"/>
          <w:szCs w:val="22"/>
        </w:rPr>
        <w:t>karuzelka</w:t>
      </w:r>
      <w:proofErr w:type="spellEnd"/>
      <w:r w:rsidRPr="000D6E9F">
        <w:rPr>
          <w:bCs/>
          <w:i/>
          <w:sz w:val="22"/>
          <w:szCs w:val="22"/>
        </w:rPr>
        <w:t xml:space="preserve"> z pilotem) zakwestionowano z uwagi na </w:t>
      </w:r>
      <w:r w:rsidRPr="000D6E9F">
        <w:rPr>
          <w:i/>
          <w:sz w:val="22"/>
          <w:szCs w:val="22"/>
        </w:rPr>
        <w:t xml:space="preserve">pojawienie się w wyniku badań elementów mieszczących się całkowicie w cylindrze do badania małych części a także pęknięcie obudowy trzech figurek, co stwarza zagrożenie pojawienia się małych elementów grzechoczących. Może to stwarzać ryzyko uduszenia użytkownika. Akta wszystkich wyżej wymienionych spraw przekazano do UOKiK w celu dalszego postępowania. Wszystkie kwestionowane podczas badań laboratoryjnych zabawki znajdujące się na stanach magazynowych kontrolowanych firm zostały wycofane ze sprzedaży. </w:t>
      </w:r>
    </w:p>
    <w:p w14:paraId="3CF6F9AE" w14:textId="1528C1F1" w:rsidR="002D4ED7" w:rsidRPr="004B2CDD" w:rsidRDefault="002D4ED7" w:rsidP="002D4ED7">
      <w:pPr>
        <w:spacing w:after="120"/>
        <w:jc w:val="both"/>
        <w:rPr>
          <w:i/>
        </w:rPr>
      </w:pPr>
    </w:p>
    <w:p w14:paraId="2AEEB530" w14:textId="643494B9" w:rsidR="00E80632" w:rsidRDefault="002D4ED7" w:rsidP="00F377D9">
      <w:pPr>
        <w:rPr>
          <w:rFonts w:eastAsia="HG Mincho Light J"/>
          <w:b/>
          <w:bCs/>
        </w:rPr>
      </w:pPr>
      <w:r>
        <w:rPr>
          <w:rFonts w:eastAsia="HG Mincho Light J"/>
          <w:b/>
          <w:bCs/>
        </w:rPr>
        <w:t>4</w:t>
      </w:r>
      <w:r w:rsidR="00A0065F">
        <w:rPr>
          <w:rFonts w:eastAsia="HG Mincho Light J"/>
          <w:b/>
          <w:bCs/>
        </w:rPr>
        <w:t xml:space="preserve">) </w:t>
      </w:r>
      <w:r w:rsidR="00E80632" w:rsidRPr="00856DF7">
        <w:rPr>
          <w:rFonts w:eastAsia="HG Mincho Light J"/>
          <w:b/>
          <w:bCs/>
        </w:rPr>
        <w:t>Ogólne bezpieczeństwo</w:t>
      </w:r>
    </w:p>
    <w:p w14:paraId="0FCC6033" w14:textId="332DFE6F" w:rsidR="001E2135" w:rsidRPr="00856DF7" w:rsidRDefault="000C5C3B" w:rsidP="00F377D9">
      <w:pPr>
        <w:rPr>
          <w:rFonts w:eastAsia="HG Mincho Light J"/>
          <w:b/>
          <w:bCs/>
        </w:rPr>
      </w:pPr>
      <w:r w:rsidRPr="00C36A58">
        <w:rPr>
          <w:b/>
          <w:bCs/>
          <w:noProof/>
          <w:color w:val="FF0000"/>
        </w:rPr>
        <w:drawing>
          <wp:anchor distT="0" distB="0" distL="114300" distR="114300" simplePos="0" relativeHeight="251665920" behindDoc="1" locked="0" layoutInCell="1" allowOverlap="1" wp14:anchorId="6E76099F" wp14:editId="23504FA9">
            <wp:simplePos x="0" y="0"/>
            <wp:positionH relativeFrom="margin">
              <wp:posOffset>3633470</wp:posOffset>
            </wp:positionH>
            <wp:positionV relativeFrom="page">
              <wp:posOffset>2943225</wp:posOffset>
            </wp:positionV>
            <wp:extent cx="2314575" cy="2228850"/>
            <wp:effectExtent l="0" t="0" r="9525" b="0"/>
            <wp:wrapTight wrapText="bothSides">
              <wp:wrapPolygon edited="0">
                <wp:start x="0" y="0"/>
                <wp:lineTo x="0" y="21415"/>
                <wp:lineTo x="21511" y="21415"/>
                <wp:lineTo x="21511" y="0"/>
                <wp:lineTo x="0" y="0"/>
              </wp:wrapPolygon>
            </wp:wrapTight>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434AD8ED" w14:textId="2B83D0B8" w:rsidR="002D4ED7" w:rsidRDefault="002D4ED7" w:rsidP="005C0B3B">
      <w:pPr>
        <w:widowControl w:val="0"/>
        <w:suppressAutoHyphens/>
        <w:jc w:val="both"/>
        <w:rPr>
          <w:rFonts w:eastAsia="HG Mincho Light J"/>
        </w:rPr>
      </w:pPr>
      <w:r w:rsidRPr="00856DF7">
        <w:rPr>
          <w:rFonts w:eastAsia="HG Mincho Light J"/>
        </w:rPr>
        <w:t xml:space="preserve">Przeprowadzono </w:t>
      </w:r>
      <w:r>
        <w:rPr>
          <w:rFonts w:eastAsia="HG Mincho Light J"/>
          <w:b/>
        </w:rPr>
        <w:t>9</w:t>
      </w:r>
      <w:r w:rsidRPr="001E2135">
        <w:rPr>
          <w:rFonts w:eastAsia="HG Mincho Light J"/>
          <w:b/>
        </w:rPr>
        <w:t xml:space="preserve"> kontroli</w:t>
      </w:r>
      <w:r w:rsidRPr="00856DF7">
        <w:rPr>
          <w:rFonts w:eastAsia="HG Mincho Light J"/>
        </w:rPr>
        <w:t xml:space="preserve">, obejmując sprawdzeniem </w:t>
      </w:r>
      <w:r>
        <w:rPr>
          <w:rFonts w:eastAsia="HG Mincho Light J"/>
          <w:b/>
        </w:rPr>
        <w:t>12</w:t>
      </w:r>
      <w:r w:rsidRPr="001E2135">
        <w:rPr>
          <w:rFonts w:eastAsia="HG Mincho Light J"/>
          <w:b/>
        </w:rPr>
        <w:t xml:space="preserve"> partii produktów</w:t>
      </w:r>
      <w:r>
        <w:rPr>
          <w:rFonts w:eastAsia="HG Mincho Light J"/>
        </w:rPr>
        <w:t>. Z</w:t>
      </w:r>
      <w:r w:rsidRPr="00856DF7">
        <w:rPr>
          <w:rFonts w:eastAsia="HG Mincho Light J"/>
        </w:rPr>
        <w:t xml:space="preserve">akwestionowano </w:t>
      </w:r>
      <w:r>
        <w:rPr>
          <w:rFonts w:eastAsia="HG Mincho Light J"/>
          <w:b/>
        </w:rPr>
        <w:t>11</w:t>
      </w:r>
      <w:r w:rsidRPr="001E2135">
        <w:rPr>
          <w:rFonts w:eastAsia="HG Mincho Light J"/>
          <w:b/>
        </w:rPr>
        <w:t xml:space="preserve"> partii</w:t>
      </w:r>
      <w:r>
        <w:rPr>
          <w:rFonts w:eastAsia="HG Mincho Light J"/>
        </w:rPr>
        <w:t xml:space="preserve"> (92</w:t>
      </w:r>
      <w:r w:rsidRPr="00856DF7">
        <w:rPr>
          <w:rFonts w:eastAsia="HG Mincho Light J"/>
        </w:rPr>
        <w:t>% skontrolowanych</w:t>
      </w:r>
      <w:r>
        <w:rPr>
          <w:rFonts w:eastAsia="HG Mincho Light J"/>
        </w:rPr>
        <w:t>)</w:t>
      </w:r>
      <w:r w:rsidRPr="00856DF7">
        <w:rPr>
          <w:rFonts w:eastAsia="HG Mincho Light J"/>
        </w:rPr>
        <w:t>.</w:t>
      </w:r>
    </w:p>
    <w:p w14:paraId="2970D052" w14:textId="6432CAC2" w:rsidR="002D4ED7" w:rsidRPr="00856DF7" w:rsidRDefault="002D4ED7" w:rsidP="005C0B3B">
      <w:pPr>
        <w:widowControl w:val="0"/>
        <w:suppressAutoHyphens/>
        <w:jc w:val="both"/>
        <w:rPr>
          <w:rFonts w:eastAsia="HG Mincho Light J"/>
        </w:rPr>
      </w:pPr>
    </w:p>
    <w:p w14:paraId="67F4938F" w14:textId="4588F8F0" w:rsidR="002D4ED7" w:rsidRPr="000D6E9F" w:rsidRDefault="002D4ED7" w:rsidP="005C0B3B">
      <w:pPr>
        <w:widowControl w:val="0"/>
        <w:suppressAutoHyphens/>
        <w:jc w:val="both"/>
        <w:rPr>
          <w:rFonts w:eastAsia="HG Mincho Light J"/>
          <w:i/>
          <w:iCs/>
          <w:sz w:val="22"/>
          <w:szCs w:val="22"/>
          <w:u w:val="single"/>
        </w:rPr>
      </w:pPr>
      <w:r w:rsidRPr="000D6E9F">
        <w:rPr>
          <w:rFonts w:eastAsia="HG Mincho Light J"/>
          <w:i/>
          <w:iCs/>
          <w:sz w:val="22"/>
          <w:szCs w:val="22"/>
          <w:u w:val="single"/>
        </w:rPr>
        <w:t>Przykład:</w:t>
      </w:r>
    </w:p>
    <w:p w14:paraId="2CCDB083" w14:textId="3C84AA60" w:rsidR="002D4ED7" w:rsidRDefault="002D4ED7" w:rsidP="005C0B3B">
      <w:pPr>
        <w:pStyle w:val="Akapitzlist"/>
        <w:widowControl w:val="0"/>
        <w:numPr>
          <w:ilvl w:val="0"/>
          <w:numId w:val="25"/>
        </w:numPr>
        <w:spacing w:line="240" w:lineRule="auto"/>
        <w:jc w:val="both"/>
        <w:rPr>
          <w:rFonts w:ascii="Times New Roman" w:eastAsia="HG Mincho Light J" w:hAnsi="Times New Roman"/>
          <w:i/>
          <w:iCs/>
        </w:rPr>
      </w:pPr>
      <w:r w:rsidRPr="000D6E9F">
        <w:rPr>
          <w:rFonts w:ascii="Times New Roman" w:eastAsia="HG Mincho Light J" w:hAnsi="Times New Roman"/>
          <w:i/>
          <w:iCs/>
        </w:rPr>
        <w:t>W trakcie badań laboratoryjnych zakwestionowano grill z uwagi na zbyt małą grubość blachy paleniska co zagrażało zdrowiu użytkowników. W związku z tym przedsiębiorca wycofał całą partie przedmiotowych grilli ze sprzedaży, a sprawę przekazano do UOKiK w celu dalszego postępowania.</w:t>
      </w:r>
    </w:p>
    <w:p w14:paraId="5E1F9361" w14:textId="5CABAB03" w:rsidR="00CE0E88" w:rsidRPr="000D6E9F" w:rsidRDefault="00CE0E88" w:rsidP="00CE0E88">
      <w:pPr>
        <w:pStyle w:val="Akapitzlist"/>
        <w:widowControl w:val="0"/>
        <w:spacing w:line="240" w:lineRule="auto"/>
        <w:jc w:val="both"/>
        <w:rPr>
          <w:rFonts w:ascii="Times New Roman" w:eastAsia="HG Mincho Light J" w:hAnsi="Times New Roman"/>
          <w:i/>
          <w:iCs/>
        </w:rPr>
      </w:pPr>
    </w:p>
    <w:p w14:paraId="79CBC355" w14:textId="7B810397" w:rsidR="001C2F1D" w:rsidRPr="00856DF7" w:rsidRDefault="001C2F1D" w:rsidP="002D4ED7">
      <w:pPr>
        <w:widowControl w:val="0"/>
        <w:suppressAutoHyphens/>
        <w:jc w:val="both"/>
        <w:rPr>
          <w:rFonts w:eastAsia="HG Mincho Light J"/>
          <w:b/>
          <w:bCs/>
        </w:rPr>
      </w:pPr>
    </w:p>
    <w:p w14:paraId="73EC6DA0" w14:textId="24279DA7" w:rsidR="00E80632" w:rsidRDefault="002D4ED7" w:rsidP="00F377D9">
      <w:pPr>
        <w:widowControl w:val="0"/>
        <w:suppressAutoHyphens/>
        <w:jc w:val="both"/>
        <w:rPr>
          <w:rFonts w:eastAsia="HG Mincho Light J"/>
          <w:b/>
          <w:bCs/>
        </w:rPr>
      </w:pPr>
      <w:r>
        <w:rPr>
          <w:rFonts w:eastAsia="HG Mincho Light J"/>
          <w:b/>
          <w:bCs/>
        </w:rPr>
        <w:t>5</w:t>
      </w:r>
      <w:r w:rsidR="00A0065F">
        <w:rPr>
          <w:rFonts w:eastAsia="HG Mincho Light J"/>
          <w:b/>
          <w:bCs/>
        </w:rPr>
        <w:t xml:space="preserve">) </w:t>
      </w:r>
      <w:r w:rsidR="000D7AFA">
        <w:rPr>
          <w:rFonts w:eastAsia="HG Mincho Light J"/>
          <w:b/>
          <w:bCs/>
        </w:rPr>
        <w:t>Kontrole innych produktów, w tym i</w:t>
      </w:r>
      <w:r w:rsidR="00E80632" w:rsidRPr="00856DF7">
        <w:rPr>
          <w:rFonts w:eastAsia="HG Mincho Light J"/>
          <w:b/>
          <w:bCs/>
        </w:rPr>
        <w:t>nformowanie konsumentów o cenach towarów i usług</w:t>
      </w:r>
    </w:p>
    <w:p w14:paraId="5F5E34C7" w14:textId="54E7E939" w:rsidR="000D7AFA" w:rsidRDefault="000D7AFA" w:rsidP="000D7AFA">
      <w:pPr>
        <w:widowControl w:val="0"/>
        <w:autoSpaceDE w:val="0"/>
        <w:autoSpaceDN w:val="0"/>
        <w:adjustRightInd w:val="0"/>
        <w:spacing w:line="276" w:lineRule="auto"/>
        <w:jc w:val="both"/>
        <w:rPr>
          <w:rFonts w:eastAsia="Times New Roman"/>
          <w:bCs/>
        </w:rPr>
      </w:pPr>
    </w:p>
    <w:p w14:paraId="08F26621" w14:textId="58F91D74" w:rsidR="000D7AFA" w:rsidRPr="002C6608" w:rsidRDefault="0088502A" w:rsidP="005C0B3B">
      <w:pPr>
        <w:widowControl w:val="0"/>
        <w:autoSpaceDE w:val="0"/>
        <w:autoSpaceDN w:val="0"/>
        <w:adjustRightInd w:val="0"/>
        <w:jc w:val="both"/>
        <w:rPr>
          <w:rFonts w:eastAsia="Times New Roman"/>
          <w:bCs/>
          <w:color w:val="FF0000"/>
        </w:rPr>
      </w:pPr>
      <w:r w:rsidRPr="00856DF7">
        <w:rPr>
          <w:rFonts w:eastAsia="HG Mincho Light J"/>
          <w:b/>
          <w:bCs/>
          <w:noProof/>
        </w:rPr>
        <w:drawing>
          <wp:anchor distT="0" distB="0" distL="114300" distR="114300" simplePos="0" relativeHeight="251656704" behindDoc="1" locked="0" layoutInCell="1" allowOverlap="1" wp14:anchorId="01DE89C4" wp14:editId="48651F0E">
            <wp:simplePos x="0" y="0"/>
            <wp:positionH relativeFrom="margin">
              <wp:posOffset>3755390</wp:posOffset>
            </wp:positionH>
            <wp:positionV relativeFrom="page">
              <wp:posOffset>7143750</wp:posOffset>
            </wp:positionV>
            <wp:extent cx="2190750" cy="2847975"/>
            <wp:effectExtent l="0" t="0" r="0" b="9525"/>
            <wp:wrapTight wrapText="bothSides">
              <wp:wrapPolygon edited="0">
                <wp:start x="0" y="0"/>
                <wp:lineTo x="0" y="21528"/>
                <wp:lineTo x="21412" y="21528"/>
                <wp:lineTo x="21412" y="0"/>
                <wp:lineTo x="0" y="0"/>
              </wp:wrapPolygon>
            </wp:wrapTight>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6B497B" w:rsidRPr="00856DF7">
        <w:rPr>
          <w:rFonts w:eastAsia="HG Mincho Light J"/>
          <w:b/>
          <w:bCs/>
          <w:noProof/>
          <w:color w:val="FF0000"/>
        </w:rPr>
        <w:drawing>
          <wp:anchor distT="0" distB="0" distL="114300" distR="114300" simplePos="0" relativeHeight="251648512" behindDoc="1" locked="0" layoutInCell="1" allowOverlap="1" wp14:anchorId="3F1161F3" wp14:editId="14E7F527">
            <wp:simplePos x="0" y="0"/>
            <wp:positionH relativeFrom="margin">
              <wp:posOffset>3633470</wp:posOffset>
            </wp:positionH>
            <wp:positionV relativeFrom="page">
              <wp:posOffset>8867775</wp:posOffset>
            </wp:positionV>
            <wp:extent cx="45720" cy="45720"/>
            <wp:effectExtent l="0" t="0" r="11430" b="11430"/>
            <wp:wrapTight wrapText="bothSides">
              <wp:wrapPolygon edited="0">
                <wp:start x="0" y="0"/>
                <wp:lineTo x="0" y="18000"/>
                <wp:lineTo x="18000" y="18000"/>
                <wp:lineTo x="18000" y="0"/>
                <wp:lineTo x="0" y="0"/>
              </wp:wrapPolygon>
            </wp:wrapTight>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D7AFA" w:rsidRPr="009C2D09">
        <w:rPr>
          <w:rFonts w:eastAsia="Times New Roman"/>
          <w:bCs/>
        </w:rPr>
        <w:t xml:space="preserve">Przeprowadzono </w:t>
      </w:r>
      <w:r w:rsidR="000D7AFA" w:rsidRPr="000D7AFA">
        <w:rPr>
          <w:rFonts w:eastAsia="Times New Roman"/>
          <w:b/>
        </w:rPr>
        <w:t>771 kontroli</w:t>
      </w:r>
      <w:r w:rsidR="000D7AFA">
        <w:rPr>
          <w:rFonts w:eastAsia="Times New Roman"/>
          <w:bCs/>
        </w:rPr>
        <w:t>, dotyczących miedzy innymi uwidocznienia informacji o cenach, rzetelności obsługi klientów, przestrzegania przepisów akcyzowych, ustawy o wychowaniu w trzeźwości i przeciwdziałaniu alkoholizmowi oraz ustawy o ochronie zdrowia przed następstwami używania tytoniu i wyrobów tytoniowych. S</w:t>
      </w:r>
      <w:r w:rsidR="000D7AFA" w:rsidRPr="009C2D09">
        <w:rPr>
          <w:rFonts w:eastAsia="Times New Roman"/>
          <w:bCs/>
        </w:rPr>
        <w:t xml:space="preserve">prawdzeniem </w:t>
      </w:r>
      <w:r w:rsidR="000D7AFA">
        <w:rPr>
          <w:rFonts w:eastAsia="Times New Roman"/>
          <w:bCs/>
        </w:rPr>
        <w:t xml:space="preserve">objęto </w:t>
      </w:r>
      <w:r w:rsidR="000D7AFA" w:rsidRPr="000D7AFA">
        <w:rPr>
          <w:rFonts w:eastAsia="Times New Roman"/>
          <w:b/>
        </w:rPr>
        <w:t>31667 produktów</w:t>
      </w:r>
      <w:r w:rsidR="000D7AFA">
        <w:rPr>
          <w:rFonts w:eastAsia="Times New Roman"/>
          <w:bCs/>
        </w:rPr>
        <w:t>, z czego</w:t>
      </w:r>
      <w:r w:rsidR="000D7AFA" w:rsidRPr="009C2D09">
        <w:rPr>
          <w:rFonts w:eastAsia="Times New Roman"/>
          <w:bCs/>
        </w:rPr>
        <w:t xml:space="preserve"> zakwestionowano </w:t>
      </w:r>
      <w:r w:rsidR="000D7AFA" w:rsidRPr="000D7AFA">
        <w:rPr>
          <w:rFonts w:eastAsia="Times New Roman"/>
          <w:b/>
        </w:rPr>
        <w:t>4223</w:t>
      </w:r>
      <w:r w:rsidR="000D7AFA" w:rsidRPr="002C6608">
        <w:rPr>
          <w:rFonts w:eastAsia="Times New Roman"/>
          <w:bCs/>
          <w:color w:val="FF0000"/>
        </w:rPr>
        <w:t xml:space="preserve"> </w:t>
      </w:r>
      <w:r w:rsidR="000D7AFA" w:rsidRPr="00E11F05">
        <w:rPr>
          <w:rFonts w:eastAsia="Times New Roman"/>
          <w:bCs/>
        </w:rPr>
        <w:t xml:space="preserve">(tj. </w:t>
      </w:r>
      <w:r w:rsidR="000D7AFA">
        <w:rPr>
          <w:rFonts w:eastAsia="Times New Roman"/>
          <w:bCs/>
        </w:rPr>
        <w:t>13,3</w:t>
      </w:r>
      <w:r w:rsidR="000D7AFA" w:rsidRPr="00E11F05">
        <w:rPr>
          <w:rFonts w:eastAsia="Times New Roman"/>
          <w:bCs/>
        </w:rPr>
        <w:t>%).</w:t>
      </w:r>
    </w:p>
    <w:p w14:paraId="3F8ACB3F" w14:textId="68EDCC66" w:rsidR="000D7AFA" w:rsidRDefault="000D7AFA" w:rsidP="005C0B3B">
      <w:pPr>
        <w:widowControl w:val="0"/>
        <w:jc w:val="both"/>
        <w:rPr>
          <w:rFonts w:eastAsia="HG Mincho Light J"/>
          <w:bCs/>
        </w:rPr>
      </w:pPr>
    </w:p>
    <w:p w14:paraId="147B674D" w14:textId="3B91871C" w:rsidR="002D4ED7" w:rsidRPr="000D7AFA" w:rsidRDefault="000D7AFA" w:rsidP="005C0B3B">
      <w:pPr>
        <w:widowControl w:val="0"/>
        <w:spacing w:after="120"/>
        <w:jc w:val="both"/>
        <w:rPr>
          <w:rFonts w:eastAsia="HG Mincho Light J"/>
          <w:bCs/>
        </w:rPr>
      </w:pPr>
      <w:r>
        <w:rPr>
          <w:rFonts w:eastAsia="HG Mincho Light J"/>
          <w:bCs/>
        </w:rPr>
        <w:t>Wśród wyżej wymienionych kontroli</w:t>
      </w:r>
      <w:r w:rsidR="002D4ED7" w:rsidRPr="00403BDF">
        <w:rPr>
          <w:rFonts w:eastAsia="HG Mincho Light J"/>
        </w:rPr>
        <w:t xml:space="preserve"> </w:t>
      </w:r>
      <w:r w:rsidR="002D4ED7" w:rsidRPr="002D4ED7">
        <w:rPr>
          <w:rFonts w:eastAsia="HG Mincho Light J"/>
          <w:b/>
          <w:bCs/>
        </w:rPr>
        <w:t xml:space="preserve">329 </w:t>
      </w:r>
      <w:r w:rsidRPr="000D7AFA">
        <w:rPr>
          <w:rFonts w:eastAsia="HG Mincho Light J"/>
        </w:rPr>
        <w:t xml:space="preserve">dotyczyło </w:t>
      </w:r>
      <w:r w:rsidR="00363D01">
        <w:rPr>
          <w:rFonts w:eastAsia="HG Mincho Light J"/>
        </w:rPr>
        <w:t>s</w:t>
      </w:r>
      <w:r>
        <w:rPr>
          <w:rFonts w:eastAsia="HG Mincho Light J"/>
        </w:rPr>
        <w:t xml:space="preserve">prawdzenia prawidłowości </w:t>
      </w:r>
      <w:r w:rsidR="002D4ED7" w:rsidRPr="00403BDF">
        <w:rPr>
          <w:rFonts w:eastAsia="Times New Roman"/>
          <w:bCs/>
        </w:rPr>
        <w:t>i</w:t>
      </w:r>
      <w:r w:rsidR="002D4ED7" w:rsidRPr="00403BDF">
        <w:rPr>
          <w:rFonts w:eastAsia="HG Mincho Light J"/>
          <w:bCs/>
        </w:rPr>
        <w:t>nformowania konsumentów</w:t>
      </w:r>
      <w:r w:rsidR="002D4ED7">
        <w:rPr>
          <w:rFonts w:eastAsia="HG Mincho Light J"/>
          <w:bCs/>
        </w:rPr>
        <w:t xml:space="preserve"> </w:t>
      </w:r>
      <w:r w:rsidR="002D4ED7" w:rsidRPr="00403BDF">
        <w:rPr>
          <w:rFonts w:eastAsia="HG Mincho Light J"/>
          <w:bCs/>
        </w:rPr>
        <w:t>o cenach towarów i usług</w:t>
      </w:r>
      <w:r w:rsidR="002D4ED7">
        <w:rPr>
          <w:rFonts w:eastAsia="HG Mincho Light J"/>
          <w:bCs/>
        </w:rPr>
        <w:t xml:space="preserve">. </w:t>
      </w:r>
      <w:r w:rsidR="002D4ED7">
        <w:rPr>
          <w:rFonts w:eastAsia="HG Mincho Light J"/>
          <w:color w:val="000000" w:themeColor="text1"/>
        </w:rPr>
        <w:t>N</w:t>
      </w:r>
      <w:r w:rsidR="002D4ED7" w:rsidRPr="00403BDF">
        <w:rPr>
          <w:rFonts w:eastAsia="HG Mincho Light J"/>
          <w:color w:val="000000" w:themeColor="text1"/>
        </w:rPr>
        <w:t xml:space="preserve">ieprawidłowości </w:t>
      </w:r>
      <w:r w:rsidR="002D4ED7">
        <w:rPr>
          <w:rFonts w:eastAsia="HG Mincho Light J"/>
          <w:color w:val="000000" w:themeColor="text1"/>
        </w:rPr>
        <w:t xml:space="preserve">stwierdzono </w:t>
      </w:r>
      <w:r w:rsidR="002D4ED7" w:rsidRPr="00403BDF">
        <w:rPr>
          <w:rFonts w:eastAsia="HG Mincho Light J"/>
          <w:color w:val="000000" w:themeColor="text1"/>
        </w:rPr>
        <w:t xml:space="preserve">w </w:t>
      </w:r>
      <w:r w:rsidR="002D4ED7" w:rsidRPr="002D4ED7">
        <w:rPr>
          <w:rFonts w:eastAsia="HG Mincho Light J"/>
          <w:b/>
          <w:bCs/>
          <w:color w:val="000000" w:themeColor="text1"/>
        </w:rPr>
        <w:t>84 podmiotach</w:t>
      </w:r>
      <w:r w:rsidR="002D4ED7" w:rsidRPr="00403BDF">
        <w:rPr>
          <w:rFonts w:eastAsia="HG Mincho Light J"/>
          <w:color w:val="000000" w:themeColor="text1"/>
        </w:rPr>
        <w:t xml:space="preserve">, co stanowi </w:t>
      </w:r>
      <w:r w:rsidR="002D4ED7">
        <w:rPr>
          <w:rFonts w:eastAsia="HG Mincho Light J"/>
          <w:color w:val="000000" w:themeColor="text1"/>
        </w:rPr>
        <w:t>25,5</w:t>
      </w:r>
      <w:r w:rsidR="002D4ED7" w:rsidRPr="00403BDF">
        <w:rPr>
          <w:rFonts w:eastAsia="HG Mincho Light J"/>
          <w:color w:val="000000" w:themeColor="text1"/>
        </w:rPr>
        <w:t>%</w:t>
      </w:r>
      <w:r w:rsidR="002D4ED7">
        <w:rPr>
          <w:rFonts w:eastAsia="HG Mincho Light J"/>
          <w:color w:val="000000" w:themeColor="text1"/>
        </w:rPr>
        <w:t xml:space="preserve"> skontrolowanych</w:t>
      </w:r>
      <w:r w:rsidR="002D4ED7" w:rsidRPr="00403BDF">
        <w:rPr>
          <w:rFonts w:eastAsia="HG Mincho Light J"/>
          <w:color w:val="000000" w:themeColor="text1"/>
        </w:rPr>
        <w:t xml:space="preserve">. Sprawdzeniem objęto </w:t>
      </w:r>
      <w:r w:rsidR="002D4ED7">
        <w:rPr>
          <w:rFonts w:eastAsia="HG Mincho Light J"/>
          <w:color w:val="000000" w:themeColor="text1"/>
        </w:rPr>
        <w:t>29188</w:t>
      </w:r>
      <w:r w:rsidR="002D4ED7" w:rsidRPr="00403BDF">
        <w:rPr>
          <w:rFonts w:eastAsia="HG Mincho Light J"/>
          <w:color w:val="000000" w:themeColor="text1"/>
        </w:rPr>
        <w:t xml:space="preserve"> produktów stwierdzając nieprawidłowości w odniesieniu do </w:t>
      </w:r>
      <w:r w:rsidR="002D4ED7">
        <w:rPr>
          <w:rFonts w:eastAsia="HG Mincho Light J"/>
        </w:rPr>
        <w:t>3914</w:t>
      </w:r>
      <w:r w:rsidR="002D4ED7" w:rsidRPr="00C6249A">
        <w:rPr>
          <w:rFonts w:eastAsia="HG Mincho Light J"/>
        </w:rPr>
        <w:t xml:space="preserve"> </w:t>
      </w:r>
      <w:r w:rsidR="002D4ED7" w:rsidRPr="00403BDF">
        <w:rPr>
          <w:rFonts w:eastAsia="HG Mincho Light J"/>
          <w:color w:val="000000" w:themeColor="text1"/>
        </w:rPr>
        <w:t>(1</w:t>
      </w:r>
      <w:r w:rsidR="002D4ED7">
        <w:rPr>
          <w:rFonts w:eastAsia="HG Mincho Light J"/>
          <w:color w:val="000000" w:themeColor="text1"/>
        </w:rPr>
        <w:t>3,</w:t>
      </w:r>
      <w:r w:rsidR="002D4ED7" w:rsidRPr="00403BDF">
        <w:rPr>
          <w:rFonts w:eastAsia="HG Mincho Light J"/>
          <w:color w:val="000000" w:themeColor="text1"/>
        </w:rPr>
        <w:t>4%).</w:t>
      </w:r>
      <w:r w:rsidR="002D4ED7" w:rsidRPr="00403BDF">
        <w:rPr>
          <w:rFonts w:eastAsia="HG Mincho Light J"/>
          <w:noProof/>
          <w:color w:val="000000" w:themeColor="text1"/>
        </w:rPr>
        <w:t xml:space="preserve"> </w:t>
      </w:r>
    </w:p>
    <w:p w14:paraId="5D36ACA5" w14:textId="726F16CB" w:rsidR="002D4ED7" w:rsidRDefault="002D4ED7" w:rsidP="005C0B3B">
      <w:pPr>
        <w:widowControl w:val="0"/>
        <w:suppressAutoHyphens/>
        <w:jc w:val="both"/>
        <w:rPr>
          <w:rFonts w:eastAsia="HG Mincho Light J"/>
        </w:rPr>
      </w:pPr>
      <w:r>
        <w:rPr>
          <w:rFonts w:eastAsia="HG Mincho Light J"/>
        </w:rPr>
        <w:t xml:space="preserve">Stwierdzone nieprawidłowości dotyczyły: </w:t>
      </w:r>
    </w:p>
    <w:p w14:paraId="158A0E36" w14:textId="604A9F62" w:rsidR="002D4ED7" w:rsidRPr="00B03FDB" w:rsidRDefault="002D4ED7" w:rsidP="005C0B3B">
      <w:pPr>
        <w:pStyle w:val="Akapitzlist"/>
        <w:numPr>
          <w:ilvl w:val="0"/>
          <w:numId w:val="15"/>
        </w:numPr>
        <w:spacing w:after="0" w:line="240" w:lineRule="auto"/>
        <w:ind w:left="811" w:hanging="357"/>
        <w:jc w:val="both"/>
        <w:rPr>
          <w:rFonts w:ascii="Times New Roman" w:hAnsi="Times New Roman"/>
          <w:sz w:val="24"/>
          <w:szCs w:val="24"/>
        </w:rPr>
      </w:pPr>
      <w:r w:rsidRPr="00B03FDB">
        <w:rPr>
          <w:rFonts w:ascii="Times New Roman" w:hAnsi="Times New Roman"/>
          <w:sz w:val="24"/>
          <w:szCs w:val="24"/>
        </w:rPr>
        <w:t xml:space="preserve">braku jakichkolwiek informacji o cenach, </w:t>
      </w:r>
    </w:p>
    <w:p w14:paraId="6C4FE00B" w14:textId="47E36E7F" w:rsidR="002D4ED7" w:rsidRPr="00B03FDB" w:rsidRDefault="002D4ED7" w:rsidP="005C0B3B">
      <w:pPr>
        <w:pStyle w:val="Akapitzlist"/>
        <w:numPr>
          <w:ilvl w:val="0"/>
          <w:numId w:val="15"/>
        </w:numPr>
        <w:spacing w:after="0" w:line="240" w:lineRule="auto"/>
        <w:ind w:left="811" w:hanging="357"/>
        <w:jc w:val="both"/>
        <w:rPr>
          <w:rFonts w:ascii="Times New Roman" w:hAnsi="Times New Roman"/>
          <w:sz w:val="24"/>
          <w:szCs w:val="24"/>
        </w:rPr>
      </w:pPr>
      <w:r w:rsidRPr="00B03FDB">
        <w:rPr>
          <w:rFonts w:ascii="Times New Roman" w:hAnsi="Times New Roman"/>
          <w:sz w:val="24"/>
          <w:szCs w:val="24"/>
        </w:rPr>
        <w:t xml:space="preserve">braku cen jednostkowych, </w:t>
      </w:r>
    </w:p>
    <w:p w14:paraId="4F52E933" w14:textId="11885D1E" w:rsidR="002D4ED7" w:rsidRPr="00B03FDB" w:rsidRDefault="002D4ED7" w:rsidP="005C0B3B">
      <w:pPr>
        <w:pStyle w:val="Akapitzlist"/>
        <w:numPr>
          <w:ilvl w:val="0"/>
          <w:numId w:val="15"/>
        </w:numPr>
        <w:spacing w:after="0" w:line="240" w:lineRule="auto"/>
        <w:ind w:left="811" w:hanging="357"/>
        <w:jc w:val="both"/>
        <w:rPr>
          <w:rFonts w:ascii="Times New Roman" w:hAnsi="Times New Roman"/>
          <w:sz w:val="24"/>
          <w:szCs w:val="24"/>
        </w:rPr>
      </w:pPr>
      <w:r w:rsidRPr="00B03FDB">
        <w:rPr>
          <w:rFonts w:ascii="Times New Roman" w:hAnsi="Times New Roman"/>
          <w:sz w:val="24"/>
          <w:szCs w:val="24"/>
        </w:rPr>
        <w:t xml:space="preserve">niewłaściwie wyliczonych cen jednostkowych, </w:t>
      </w:r>
    </w:p>
    <w:p w14:paraId="3AC93640" w14:textId="65689BCB" w:rsidR="002D4ED7" w:rsidRPr="00B03FDB" w:rsidRDefault="002D4ED7" w:rsidP="005C0B3B">
      <w:pPr>
        <w:pStyle w:val="Akapitzlist"/>
        <w:numPr>
          <w:ilvl w:val="0"/>
          <w:numId w:val="15"/>
        </w:numPr>
        <w:spacing w:after="0" w:line="240" w:lineRule="auto"/>
        <w:ind w:left="811" w:hanging="357"/>
        <w:jc w:val="both"/>
        <w:rPr>
          <w:rFonts w:ascii="Times New Roman" w:hAnsi="Times New Roman"/>
          <w:sz w:val="24"/>
          <w:szCs w:val="24"/>
        </w:rPr>
      </w:pPr>
      <w:r w:rsidRPr="00B03FDB">
        <w:rPr>
          <w:rFonts w:ascii="Times New Roman" w:hAnsi="Times New Roman"/>
          <w:sz w:val="24"/>
          <w:szCs w:val="24"/>
        </w:rPr>
        <w:t>eksponowania obok siebie na półkach produktów podobnych, których ceny jednostkowe podane były raz w przeliczeniu na 100 g a raz na 1 kg lub</w:t>
      </w:r>
      <w:r>
        <w:rPr>
          <w:rFonts w:ascii="Times New Roman" w:hAnsi="Times New Roman"/>
          <w:sz w:val="24"/>
          <w:szCs w:val="24"/>
        </w:rPr>
        <w:t xml:space="preserve"> </w:t>
      </w:r>
      <w:r w:rsidRPr="00B03FDB">
        <w:rPr>
          <w:rFonts w:ascii="Times New Roman" w:hAnsi="Times New Roman"/>
          <w:sz w:val="24"/>
          <w:szCs w:val="24"/>
        </w:rPr>
        <w:t>na 100 ml i 1 l,</w:t>
      </w:r>
    </w:p>
    <w:p w14:paraId="5432FE3B" w14:textId="14FC47F4" w:rsidR="002D4ED7" w:rsidRDefault="002D4ED7" w:rsidP="005C0B3B">
      <w:pPr>
        <w:pStyle w:val="Akapitzlist"/>
        <w:numPr>
          <w:ilvl w:val="0"/>
          <w:numId w:val="15"/>
        </w:numPr>
        <w:spacing w:after="0" w:line="240" w:lineRule="auto"/>
        <w:ind w:left="811" w:hanging="357"/>
        <w:jc w:val="both"/>
        <w:rPr>
          <w:rFonts w:ascii="Times New Roman" w:hAnsi="Times New Roman"/>
          <w:sz w:val="24"/>
          <w:szCs w:val="24"/>
        </w:rPr>
      </w:pPr>
      <w:r>
        <w:rPr>
          <w:rFonts w:ascii="Times New Roman" w:hAnsi="Times New Roman"/>
          <w:sz w:val="24"/>
          <w:szCs w:val="24"/>
        </w:rPr>
        <w:lastRenderedPageBreak/>
        <w:t>niejednoznacznego określenia ceny produktu,</w:t>
      </w:r>
    </w:p>
    <w:p w14:paraId="434FF420" w14:textId="6787F385" w:rsidR="002D4ED7" w:rsidRPr="00B03FDB" w:rsidRDefault="002D4ED7" w:rsidP="005C0B3B">
      <w:pPr>
        <w:pStyle w:val="Akapitzlist"/>
        <w:numPr>
          <w:ilvl w:val="0"/>
          <w:numId w:val="15"/>
        </w:numPr>
        <w:spacing w:after="0" w:line="240" w:lineRule="auto"/>
        <w:ind w:left="811" w:hanging="357"/>
        <w:jc w:val="both"/>
        <w:rPr>
          <w:rFonts w:ascii="Times New Roman" w:hAnsi="Times New Roman"/>
          <w:sz w:val="24"/>
          <w:szCs w:val="24"/>
        </w:rPr>
      </w:pPr>
      <w:r w:rsidRPr="00B03FDB">
        <w:rPr>
          <w:rFonts w:ascii="Times New Roman" w:hAnsi="Times New Roman"/>
          <w:sz w:val="24"/>
          <w:szCs w:val="24"/>
        </w:rPr>
        <w:t>niezgodności cen uwidocznion</w:t>
      </w:r>
      <w:r>
        <w:rPr>
          <w:rFonts w:ascii="Times New Roman" w:hAnsi="Times New Roman"/>
          <w:sz w:val="24"/>
          <w:szCs w:val="24"/>
        </w:rPr>
        <w:t>ych</w:t>
      </w:r>
      <w:r w:rsidRPr="00B03FDB">
        <w:rPr>
          <w:rFonts w:ascii="Times New Roman" w:hAnsi="Times New Roman"/>
          <w:sz w:val="24"/>
          <w:szCs w:val="24"/>
        </w:rPr>
        <w:t xml:space="preserve"> w miejscu sprzedaży, z cenami zakodowanymi</w:t>
      </w:r>
      <w:r w:rsidR="00390FEB">
        <w:rPr>
          <w:rFonts w:ascii="Times New Roman" w:hAnsi="Times New Roman"/>
          <w:sz w:val="24"/>
          <w:szCs w:val="24"/>
        </w:rPr>
        <w:t xml:space="preserve"> </w:t>
      </w:r>
      <w:r w:rsidRPr="00B03FDB">
        <w:rPr>
          <w:rFonts w:ascii="Times New Roman" w:hAnsi="Times New Roman"/>
          <w:sz w:val="24"/>
          <w:szCs w:val="24"/>
        </w:rPr>
        <w:t xml:space="preserve">w systemie kasowym, </w:t>
      </w:r>
    </w:p>
    <w:p w14:paraId="7CD9016C" w14:textId="6D763B9A" w:rsidR="002D4ED7" w:rsidRPr="000D7AFA" w:rsidRDefault="002D4ED7" w:rsidP="005C0B3B">
      <w:pPr>
        <w:pStyle w:val="Akapitzlist"/>
        <w:numPr>
          <w:ilvl w:val="0"/>
          <w:numId w:val="15"/>
        </w:numPr>
        <w:spacing w:after="120" w:line="240" w:lineRule="auto"/>
        <w:ind w:left="811" w:hanging="357"/>
        <w:jc w:val="both"/>
        <w:rPr>
          <w:rFonts w:ascii="Times New Roman" w:hAnsi="Times New Roman"/>
          <w:sz w:val="24"/>
          <w:szCs w:val="24"/>
        </w:rPr>
      </w:pPr>
      <w:r w:rsidRPr="00B03FDB">
        <w:rPr>
          <w:rFonts w:ascii="Times New Roman" w:hAnsi="Times New Roman"/>
          <w:sz w:val="24"/>
          <w:szCs w:val="24"/>
        </w:rPr>
        <w:t>nierzetelnej obsługi klientów w naliczaniu należności w trakcie zakupu kontrolnego</w:t>
      </w:r>
      <w:r w:rsidRPr="007C376C">
        <w:t>.</w:t>
      </w:r>
    </w:p>
    <w:p w14:paraId="2746B5BB" w14:textId="0311A782" w:rsidR="00E80632" w:rsidRDefault="002D4ED7" w:rsidP="005C0B3B">
      <w:pPr>
        <w:widowControl w:val="0"/>
        <w:suppressAutoHyphens/>
        <w:jc w:val="both"/>
        <w:rPr>
          <w:rFonts w:eastAsia="HG Mincho Light J"/>
        </w:rPr>
      </w:pPr>
      <w:r>
        <w:rPr>
          <w:rFonts w:eastAsia="HG Mincho Light J"/>
        </w:rPr>
        <w:t xml:space="preserve">W związku z ww. nieprawidłowościami dotyczącymi podawania cen przedsiębiorcy zostali ukarani w drodze postępowania administracyjnego. </w:t>
      </w:r>
    </w:p>
    <w:p w14:paraId="7CC71734" w14:textId="4EF28BD4" w:rsidR="00E20850" w:rsidRPr="00E20850" w:rsidRDefault="00E20850" w:rsidP="00E20850">
      <w:pPr>
        <w:widowControl w:val="0"/>
        <w:suppressAutoHyphens/>
        <w:spacing w:line="276" w:lineRule="auto"/>
        <w:jc w:val="both"/>
        <w:rPr>
          <w:rFonts w:eastAsia="HG Mincho Light J"/>
          <w:i/>
          <w:iCs/>
        </w:rPr>
      </w:pPr>
    </w:p>
    <w:p w14:paraId="22041B63" w14:textId="5F4915EB" w:rsidR="00E20850" w:rsidRPr="00E20850" w:rsidRDefault="00E20850" w:rsidP="005C0B3B">
      <w:pPr>
        <w:widowControl w:val="0"/>
        <w:autoSpaceDE w:val="0"/>
        <w:autoSpaceDN w:val="0"/>
        <w:adjustRightInd w:val="0"/>
        <w:jc w:val="both"/>
        <w:rPr>
          <w:rFonts w:eastAsia="Times New Roman"/>
          <w:bCs/>
          <w:i/>
          <w:iCs/>
          <w:u w:val="single"/>
        </w:rPr>
      </w:pPr>
      <w:r w:rsidRPr="00E20850">
        <w:rPr>
          <w:rFonts w:eastAsia="Times New Roman"/>
          <w:bCs/>
          <w:i/>
          <w:iCs/>
          <w:u w:val="single"/>
        </w:rPr>
        <w:t>Przykład:</w:t>
      </w:r>
    </w:p>
    <w:p w14:paraId="1828A4C2" w14:textId="2A9CC428" w:rsidR="00E20850" w:rsidRPr="000D6E9F" w:rsidRDefault="00E20850" w:rsidP="005C0B3B">
      <w:pPr>
        <w:pStyle w:val="Akapitzlist"/>
        <w:widowControl w:val="0"/>
        <w:numPr>
          <w:ilvl w:val="0"/>
          <w:numId w:val="16"/>
        </w:numPr>
        <w:tabs>
          <w:tab w:val="left" w:pos="426"/>
        </w:tabs>
        <w:spacing w:after="0" w:line="240" w:lineRule="auto"/>
        <w:ind w:left="567"/>
        <w:jc w:val="both"/>
        <w:rPr>
          <w:rFonts w:ascii="Times New Roman" w:eastAsia="Times New Roman" w:hAnsi="Times New Roman"/>
          <w:i/>
          <w:iCs/>
        </w:rPr>
      </w:pPr>
      <w:r w:rsidRPr="000D6E9F">
        <w:rPr>
          <w:rFonts w:ascii="Times New Roman" w:eastAsia="HG Mincho Light J" w:hAnsi="Times New Roman"/>
          <w:i/>
          <w:iCs/>
        </w:rPr>
        <w:t xml:space="preserve">kontrola prawidłowości uwidocznienia cen – </w:t>
      </w:r>
      <w:r w:rsidRPr="000D6E9F">
        <w:rPr>
          <w:rFonts w:ascii="Times New Roman" w:eastAsia="Times New Roman" w:hAnsi="Times New Roman"/>
          <w:i/>
          <w:iCs/>
        </w:rPr>
        <w:t xml:space="preserve">kontrola przeprowadzona </w:t>
      </w:r>
      <w:r w:rsidRPr="000D6E9F">
        <w:rPr>
          <w:rFonts w:ascii="Times New Roman" w:eastAsia="Times New Roman" w:hAnsi="Times New Roman"/>
          <w:i/>
          <w:iCs/>
        </w:rPr>
        <w:br/>
        <w:t xml:space="preserve">w jednym ze sklepów lokalnej sieci handlowej wykazała nieprawidłowości dotyczące nierzetelnej obsługi klienta polegającej na zawyżeniu należności wynikającej </w:t>
      </w:r>
      <w:r w:rsidRPr="000D6E9F">
        <w:rPr>
          <w:rFonts w:ascii="Times New Roman" w:eastAsia="Times New Roman" w:hAnsi="Times New Roman"/>
          <w:i/>
          <w:iCs/>
        </w:rPr>
        <w:br/>
        <w:t xml:space="preserve">z niewłaściwego zważenia zakupionych produktów (według wagi brutto), braku cen </w:t>
      </w:r>
      <w:r w:rsidRPr="000D6E9F">
        <w:rPr>
          <w:rFonts w:ascii="Times New Roman" w:eastAsia="Times New Roman" w:hAnsi="Times New Roman"/>
          <w:i/>
          <w:iCs/>
        </w:rPr>
        <w:br/>
        <w:t xml:space="preserve">i cen jednostkowych oraz niewłaściwie wyliczonych cen jednostkowych. </w:t>
      </w:r>
    </w:p>
    <w:p w14:paraId="6A457021" w14:textId="0FA97655" w:rsidR="00E20850" w:rsidRPr="000D6E9F" w:rsidRDefault="00E20850" w:rsidP="005C0B3B">
      <w:pPr>
        <w:pStyle w:val="Akapitzlist"/>
        <w:widowControl w:val="0"/>
        <w:tabs>
          <w:tab w:val="left" w:pos="426"/>
        </w:tabs>
        <w:spacing w:after="0" w:line="240" w:lineRule="auto"/>
        <w:ind w:left="567"/>
        <w:jc w:val="both"/>
        <w:rPr>
          <w:rFonts w:ascii="Times New Roman" w:eastAsia="Times New Roman" w:hAnsi="Times New Roman"/>
          <w:i/>
          <w:iCs/>
        </w:rPr>
      </w:pPr>
      <w:r w:rsidRPr="000D6E9F">
        <w:rPr>
          <w:rFonts w:ascii="Times New Roman" w:eastAsia="Times New Roman" w:hAnsi="Times New Roman"/>
          <w:i/>
          <w:iCs/>
        </w:rPr>
        <w:t xml:space="preserve">W związku ze stwierdzonymi uchybieniami w zakresie rzetelności obsługi </w:t>
      </w:r>
      <w:r w:rsidRPr="000D6E9F">
        <w:rPr>
          <w:rFonts w:ascii="Times New Roman" w:eastAsia="Times New Roman" w:hAnsi="Times New Roman"/>
          <w:i/>
          <w:iCs/>
        </w:rPr>
        <w:br/>
        <w:t>– przesłuchano osobę podejrzaną o popełnienie wykroczenia z art. 134§1 Kodeksu Wykroczeń.</w:t>
      </w:r>
    </w:p>
    <w:p w14:paraId="04EB9109" w14:textId="5E4D5D32" w:rsidR="00E20850" w:rsidRPr="000D6E9F" w:rsidRDefault="00E20850" w:rsidP="005C0B3B">
      <w:pPr>
        <w:pStyle w:val="Akapitzlist"/>
        <w:widowControl w:val="0"/>
        <w:tabs>
          <w:tab w:val="left" w:pos="426"/>
        </w:tabs>
        <w:spacing w:after="0" w:line="240" w:lineRule="auto"/>
        <w:ind w:left="567"/>
        <w:jc w:val="both"/>
        <w:rPr>
          <w:rFonts w:ascii="Times New Roman" w:eastAsia="HG Mincho Light J" w:hAnsi="Times New Roman"/>
          <w:i/>
          <w:iCs/>
        </w:rPr>
      </w:pPr>
      <w:r w:rsidRPr="000D6E9F">
        <w:rPr>
          <w:rFonts w:ascii="Times New Roman" w:eastAsia="Times New Roman" w:hAnsi="Times New Roman"/>
          <w:i/>
          <w:iCs/>
        </w:rPr>
        <w:t xml:space="preserve">Po przeprowadzeniu postępowania wyjaśniającego ustalono, że nie ma dowodów </w:t>
      </w:r>
      <w:r w:rsidRPr="000D6E9F">
        <w:rPr>
          <w:rFonts w:ascii="Times New Roman" w:eastAsia="Times New Roman" w:hAnsi="Times New Roman"/>
          <w:i/>
          <w:iCs/>
        </w:rPr>
        <w:br/>
        <w:t xml:space="preserve">na popełnienie wykroczenia z art. 134§1 Kodeksu Wykroczeń w związku z powyższym poinformowano przedsiębiorcę o ustaleniach stwierdzonych w trakcie kontroli </w:t>
      </w:r>
      <w:r w:rsidRPr="000D6E9F">
        <w:rPr>
          <w:rFonts w:ascii="Times New Roman" w:eastAsia="Times New Roman" w:hAnsi="Times New Roman"/>
          <w:i/>
          <w:iCs/>
        </w:rPr>
        <w:br/>
        <w:t>i zobowiązano go do przeszkolenia personelu w zakresie prawidłowego ważenia produktów oferowanych na wagę według masy netto.</w:t>
      </w:r>
    </w:p>
    <w:p w14:paraId="5C27C116" w14:textId="61356231" w:rsidR="00E20850" w:rsidRPr="000D6E9F" w:rsidRDefault="00E20850" w:rsidP="005C0B3B">
      <w:pPr>
        <w:pStyle w:val="Akapitzlist"/>
        <w:widowControl w:val="0"/>
        <w:tabs>
          <w:tab w:val="left" w:pos="426"/>
        </w:tabs>
        <w:spacing w:after="0" w:line="240" w:lineRule="auto"/>
        <w:ind w:left="567"/>
        <w:jc w:val="both"/>
        <w:rPr>
          <w:rFonts w:ascii="Times New Roman" w:eastAsia="Times New Roman" w:hAnsi="Times New Roman"/>
          <w:i/>
          <w:iCs/>
        </w:rPr>
      </w:pPr>
      <w:r w:rsidRPr="000D6E9F">
        <w:rPr>
          <w:rFonts w:ascii="Times New Roman" w:eastAsia="Times New Roman" w:hAnsi="Times New Roman"/>
          <w:i/>
          <w:iCs/>
        </w:rPr>
        <w:t xml:space="preserve">W związku ze stwierdzonymi uchybieniami dotyczącymi informowania o cenach </w:t>
      </w:r>
      <w:r w:rsidRPr="000D6E9F">
        <w:rPr>
          <w:rFonts w:ascii="Times New Roman" w:eastAsia="Times New Roman" w:hAnsi="Times New Roman"/>
          <w:i/>
          <w:iCs/>
        </w:rPr>
        <w:br/>
        <w:t>– w stosunku do kontrolowanego przedsiębiorcy wydano decyzję na podstawie art. 6 ust. 1 ustawy z o informowaniu o cenach towarów i usług.</w:t>
      </w:r>
    </w:p>
    <w:p w14:paraId="5EB68499" w14:textId="3552BBDC" w:rsidR="00E80632" w:rsidRDefault="00E80632" w:rsidP="00F377D9">
      <w:pPr>
        <w:widowControl w:val="0"/>
        <w:suppressAutoHyphens/>
        <w:jc w:val="both"/>
        <w:rPr>
          <w:rFonts w:eastAsia="HG Mincho Light J"/>
        </w:rPr>
      </w:pPr>
    </w:p>
    <w:p w14:paraId="019C4995" w14:textId="5229BE75" w:rsidR="0008694F" w:rsidRPr="00856DF7" w:rsidRDefault="0008694F" w:rsidP="00F377D9">
      <w:pPr>
        <w:widowControl w:val="0"/>
        <w:suppressAutoHyphens/>
        <w:jc w:val="both"/>
        <w:rPr>
          <w:rFonts w:eastAsia="HG Mincho Light J"/>
        </w:rPr>
      </w:pPr>
    </w:p>
    <w:p w14:paraId="1B09CE3B" w14:textId="72C217F7" w:rsidR="00E80632" w:rsidRDefault="00E20850" w:rsidP="00F377D9">
      <w:pPr>
        <w:widowControl w:val="0"/>
        <w:autoSpaceDE w:val="0"/>
        <w:autoSpaceDN w:val="0"/>
        <w:adjustRightInd w:val="0"/>
        <w:jc w:val="both"/>
        <w:rPr>
          <w:rFonts w:eastAsia="Times New Roman"/>
          <w:b/>
        </w:rPr>
      </w:pPr>
      <w:r>
        <w:rPr>
          <w:rFonts w:eastAsia="Times New Roman"/>
          <w:b/>
        </w:rPr>
        <w:t>6</w:t>
      </w:r>
      <w:r w:rsidR="00A0065F">
        <w:rPr>
          <w:rFonts w:eastAsia="Times New Roman"/>
          <w:b/>
        </w:rPr>
        <w:t xml:space="preserve">) </w:t>
      </w:r>
      <w:r w:rsidR="00E80632" w:rsidRPr="00856DF7">
        <w:rPr>
          <w:rFonts w:eastAsia="Times New Roman"/>
          <w:b/>
        </w:rPr>
        <w:t>Kontrole artykułów nieżywnościowych</w:t>
      </w:r>
    </w:p>
    <w:p w14:paraId="1D346FDD" w14:textId="563D54CB" w:rsidR="000534E6" w:rsidRPr="00856DF7" w:rsidRDefault="000534E6" w:rsidP="005C0B3B">
      <w:pPr>
        <w:widowControl w:val="0"/>
        <w:autoSpaceDE w:val="0"/>
        <w:autoSpaceDN w:val="0"/>
        <w:adjustRightInd w:val="0"/>
        <w:jc w:val="both"/>
        <w:rPr>
          <w:rFonts w:eastAsia="Times New Roman"/>
          <w:b/>
        </w:rPr>
      </w:pPr>
    </w:p>
    <w:p w14:paraId="0DCAE1B7" w14:textId="5642C385" w:rsidR="00E20850" w:rsidRPr="002C6608" w:rsidRDefault="00E20850" w:rsidP="005C0B3B">
      <w:pPr>
        <w:widowControl w:val="0"/>
        <w:autoSpaceDE w:val="0"/>
        <w:autoSpaceDN w:val="0"/>
        <w:adjustRightInd w:val="0"/>
        <w:jc w:val="both"/>
        <w:rPr>
          <w:rFonts w:eastAsia="Times New Roman"/>
          <w:bCs/>
          <w:color w:val="FF0000"/>
        </w:rPr>
      </w:pPr>
      <w:r w:rsidRPr="009C2D09">
        <w:rPr>
          <w:rFonts w:eastAsia="Times New Roman"/>
          <w:bCs/>
        </w:rPr>
        <w:t xml:space="preserve">Przeprowadzono </w:t>
      </w:r>
      <w:r w:rsidRPr="00E20850">
        <w:rPr>
          <w:rFonts w:eastAsia="Times New Roman"/>
          <w:b/>
        </w:rPr>
        <w:t>86 kontroli</w:t>
      </w:r>
      <w:r w:rsidRPr="009C2D09">
        <w:rPr>
          <w:rFonts w:eastAsia="Times New Roman"/>
          <w:bCs/>
        </w:rPr>
        <w:t xml:space="preserve"> </w:t>
      </w:r>
      <w:r>
        <w:rPr>
          <w:rFonts w:eastAsia="Times New Roman"/>
          <w:bCs/>
        </w:rPr>
        <w:t xml:space="preserve">w obszarze produktów nieżywnościowych, miedzy innymi: kosmetyków, substancji chemicznych, detergentów, produktów włókienniczych, baterii </w:t>
      </w:r>
      <w:r>
        <w:rPr>
          <w:rFonts w:eastAsia="Times New Roman"/>
          <w:bCs/>
        </w:rPr>
        <w:br/>
        <w:t>i akumulatorów, kotłów na paliwo stałe, wyrobów zawierających lotne związki organiczne, płynów do spryskiwaczy oraz materiałów budowlanych. S</w:t>
      </w:r>
      <w:r w:rsidRPr="009C2D09">
        <w:rPr>
          <w:rFonts w:eastAsia="Times New Roman"/>
          <w:bCs/>
        </w:rPr>
        <w:t xml:space="preserve">prawdzeniem </w:t>
      </w:r>
      <w:r>
        <w:rPr>
          <w:rFonts w:eastAsia="Times New Roman"/>
          <w:bCs/>
        </w:rPr>
        <w:t xml:space="preserve">objęto </w:t>
      </w:r>
      <w:r w:rsidRPr="00E20850">
        <w:rPr>
          <w:rFonts w:eastAsia="Times New Roman"/>
          <w:b/>
        </w:rPr>
        <w:t>354 produktów</w:t>
      </w:r>
      <w:r>
        <w:rPr>
          <w:rFonts w:eastAsia="Times New Roman"/>
          <w:bCs/>
        </w:rPr>
        <w:t>, z czego</w:t>
      </w:r>
      <w:r w:rsidRPr="009C2D09">
        <w:rPr>
          <w:rFonts w:eastAsia="Times New Roman"/>
          <w:bCs/>
        </w:rPr>
        <w:t xml:space="preserve"> zakwestionowano </w:t>
      </w:r>
      <w:r w:rsidRPr="00E20850">
        <w:rPr>
          <w:rFonts w:eastAsia="Times New Roman"/>
          <w:b/>
        </w:rPr>
        <w:t>113</w:t>
      </w:r>
      <w:r w:rsidRPr="00E20850">
        <w:rPr>
          <w:rFonts w:eastAsia="Times New Roman"/>
          <w:b/>
          <w:color w:val="FF0000"/>
        </w:rPr>
        <w:t xml:space="preserve"> </w:t>
      </w:r>
      <w:r w:rsidRPr="00E11F05">
        <w:rPr>
          <w:rFonts w:eastAsia="Times New Roman"/>
          <w:bCs/>
        </w:rPr>
        <w:t xml:space="preserve">(tj. </w:t>
      </w:r>
      <w:r>
        <w:rPr>
          <w:rFonts w:eastAsia="Times New Roman"/>
          <w:bCs/>
        </w:rPr>
        <w:t>31,9</w:t>
      </w:r>
      <w:r w:rsidRPr="00E11F05">
        <w:rPr>
          <w:rFonts w:eastAsia="Times New Roman"/>
          <w:bCs/>
        </w:rPr>
        <w:t>%).</w:t>
      </w:r>
    </w:p>
    <w:p w14:paraId="3B41DEE8" w14:textId="5A539DCE" w:rsidR="00E20850" w:rsidRDefault="0088502A" w:rsidP="005C0B3B">
      <w:pPr>
        <w:widowControl w:val="0"/>
        <w:autoSpaceDE w:val="0"/>
        <w:autoSpaceDN w:val="0"/>
        <w:adjustRightInd w:val="0"/>
        <w:jc w:val="both"/>
        <w:rPr>
          <w:rFonts w:eastAsia="Times New Roman"/>
          <w:bCs/>
        </w:rPr>
      </w:pPr>
      <w:r w:rsidRPr="00EF0D90">
        <w:rPr>
          <w:rFonts w:eastAsia="HG Mincho Light J"/>
          <w:b/>
          <w:bCs/>
          <w:i/>
          <w:iCs/>
          <w:noProof/>
        </w:rPr>
        <w:drawing>
          <wp:anchor distT="0" distB="0" distL="114300" distR="114300" simplePos="0" relativeHeight="251654656" behindDoc="1" locked="0" layoutInCell="1" allowOverlap="1" wp14:anchorId="344FE4FD" wp14:editId="30268CAE">
            <wp:simplePos x="0" y="0"/>
            <wp:positionH relativeFrom="margin">
              <wp:posOffset>3662045</wp:posOffset>
            </wp:positionH>
            <wp:positionV relativeFrom="page">
              <wp:posOffset>6562725</wp:posOffset>
            </wp:positionV>
            <wp:extent cx="2295525" cy="2781300"/>
            <wp:effectExtent l="0" t="0" r="9525" b="0"/>
            <wp:wrapTight wrapText="bothSides">
              <wp:wrapPolygon edited="0">
                <wp:start x="0" y="0"/>
                <wp:lineTo x="0" y="21452"/>
                <wp:lineTo x="21510" y="21452"/>
                <wp:lineTo x="21510" y="0"/>
                <wp:lineTo x="0" y="0"/>
              </wp:wrapPolygon>
            </wp:wrapTight>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E20850">
        <w:rPr>
          <w:rFonts w:eastAsia="Times New Roman"/>
          <w:bCs/>
        </w:rPr>
        <w:t xml:space="preserve"> </w:t>
      </w:r>
      <w:r w:rsidR="00E20850" w:rsidRPr="005075B4">
        <w:rPr>
          <w:rFonts w:eastAsia="Times New Roman"/>
          <w:bCs/>
        </w:rPr>
        <w:t xml:space="preserve"> </w:t>
      </w:r>
    </w:p>
    <w:p w14:paraId="539DAB65" w14:textId="0876771C" w:rsidR="00E20850" w:rsidRPr="000D6E9F" w:rsidRDefault="00E20850" w:rsidP="005C0B3B">
      <w:pPr>
        <w:widowControl w:val="0"/>
        <w:tabs>
          <w:tab w:val="left" w:pos="1276"/>
        </w:tabs>
        <w:autoSpaceDE w:val="0"/>
        <w:autoSpaceDN w:val="0"/>
        <w:adjustRightInd w:val="0"/>
        <w:ind w:left="567" w:hanging="425"/>
        <w:jc w:val="both"/>
        <w:rPr>
          <w:rFonts w:eastAsia="Times New Roman"/>
          <w:bCs/>
          <w:i/>
          <w:iCs/>
          <w:sz w:val="22"/>
          <w:szCs w:val="22"/>
          <w:u w:val="single"/>
        </w:rPr>
      </w:pPr>
      <w:r w:rsidRPr="000D6E9F">
        <w:rPr>
          <w:rFonts w:eastAsia="Times New Roman"/>
          <w:bCs/>
          <w:i/>
          <w:iCs/>
          <w:sz w:val="22"/>
          <w:szCs w:val="22"/>
          <w:u w:val="single"/>
        </w:rPr>
        <w:t>Przykłady:</w:t>
      </w:r>
    </w:p>
    <w:p w14:paraId="62C519A8" w14:textId="242DF90F" w:rsidR="00E20850" w:rsidRPr="000D6E9F" w:rsidRDefault="00E20850" w:rsidP="005C0B3B">
      <w:pPr>
        <w:pStyle w:val="Akapitzlist"/>
        <w:widowControl w:val="0"/>
        <w:numPr>
          <w:ilvl w:val="0"/>
          <w:numId w:val="16"/>
        </w:numPr>
        <w:tabs>
          <w:tab w:val="left" w:pos="1276"/>
        </w:tabs>
        <w:autoSpaceDE w:val="0"/>
        <w:autoSpaceDN w:val="0"/>
        <w:adjustRightInd w:val="0"/>
        <w:spacing w:after="0" w:line="240" w:lineRule="auto"/>
        <w:ind w:left="567" w:hanging="425"/>
        <w:jc w:val="both"/>
        <w:rPr>
          <w:rFonts w:ascii="Times New Roman" w:eastAsia="Times New Roman" w:hAnsi="Times New Roman"/>
          <w:i/>
          <w:iCs/>
        </w:rPr>
      </w:pPr>
      <w:r w:rsidRPr="000D6E9F">
        <w:rPr>
          <w:rFonts w:ascii="Times New Roman" w:eastAsia="Times New Roman" w:hAnsi="Times New Roman"/>
          <w:bCs/>
          <w:i/>
          <w:iCs/>
        </w:rPr>
        <w:t xml:space="preserve">kontrola kosmetyków </w:t>
      </w:r>
      <w:r w:rsidRPr="000D6E9F">
        <w:rPr>
          <w:rFonts w:ascii="Times New Roman" w:eastAsia="Times New Roman" w:hAnsi="Times New Roman"/>
          <w:i/>
          <w:iCs/>
        </w:rPr>
        <w:t>– w jednej z hurtowni zakwestionowano:</w:t>
      </w:r>
    </w:p>
    <w:p w14:paraId="3E762550" w14:textId="243EBB52" w:rsidR="00E20850" w:rsidRPr="000D6E9F" w:rsidRDefault="00E20850" w:rsidP="005C0B3B">
      <w:pPr>
        <w:pStyle w:val="Akapitzlist"/>
        <w:widowControl w:val="0"/>
        <w:numPr>
          <w:ilvl w:val="0"/>
          <w:numId w:val="17"/>
        </w:numPr>
        <w:tabs>
          <w:tab w:val="left" w:pos="1276"/>
        </w:tabs>
        <w:autoSpaceDE w:val="0"/>
        <w:autoSpaceDN w:val="0"/>
        <w:adjustRightInd w:val="0"/>
        <w:spacing w:after="0" w:line="240" w:lineRule="auto"/>
        <w:ind w:left="567" w:hanging="425"/>
        <w:jc w:val="both"/>
        <w:rPr>
          <w:rFonts w:ascii="Times New Roman" w:eastAsia="Times New Roman" w:hAnsi="Times New Roman"/>
          <w:i/>
          <w:iCs/>
        </w:rPr>
      </w:pPr>
      <w:r w:rsidRPr="000D6E9F">
        <w:rPr>
          <w:rFonts w:ascii="Times New Roman" w:eastAsia="Times New Roman" w:hAnsi="Times New Roman"/>
          <w:i/>
          <w:iCs/>
        </w:rPr>
        <w:t xml:space="preserve">dwie partie wyrobów z uwagi na </w:t>
      </w:r>
      <w:r w:rsidRPr="000D6E9F">
        <w:rPr>
          <w:rFonts w:ascii="Times New Roman" w:hAnsi="Times New Roman"/>
          <w:i/>
          <w:iCs/>
        </w:rPr>
        <w:t xml:space="preserve">brak wykazu składników. </w:t>
      </w:r>
      <w:r w:rsidRPr="000D6E9F">
        <w:rPr>
          <w:rFonts w:ascii="Times New Roman" w:eastAsia="Times New Roman" w:hAnsi="Times New Roman"/>
          <w:i/>
          <w:iCs/>
        </w:rPr>
        <w:t xml:space="preserve">Do dostawcy kwestionowanych produktów wystosowano wystąpienie pokontrolne z wnioskiem o dostosowanie oznakowania do obowiązujących przepisów prawa. Ponadto skierowano pismo do właściwej miejscowo stacji </w:t>
      </w:r>
      <w:proofErr w:type="spellStart"/>
      <w:r w:rsidRPr="000D6E9F">
        <w:rPr>
          <w:rFonts w:ascii="Times New Roman" w:eastAsia="Times New Roman" w:hAnsi="Times New Roman"/>
          <w:i/>
          <w:iCs/>
        </w:rPr>
        <w:t>sanitarno</w:t>
      </w:r>
      <w:proofErr w:type="spellEnd"/>
      <w:r w:rsidRPr="000D6E9F">
        <w:rPr>
          <w:rFonts w:ascii="Times New Roman" w:eastAsia="Times New Roman" w:hAnsi="Times New Roman"/>
          <w:i/>
          <w:iCs/>
        </w:rPr>
        <w:t xml:space="preserve"> – epidemiologicznej informujące o niewłaściwym oznakowaniu produktów kosmetycznych. Zakwestionowane produkty zostały wycofane z obrotu handlowego;</w:t>
      </w:r>
    </w:p>
    <w:p w14:paraId="55823B63" w14:textId="4DE3AD7E" w:rsidR="00E20850" w:rsidRPr="000D6E9F" w:rsidRDefault="00E20850" w:rsidP="005C0B3B">
      <w:pPr>
        <w:pStyle w:val="Akapitzlist"/>
        <w:widowControl w:val="0"/>
        <w:numPr>
          <w:ilvl w:val="0"/>
          <w:numId w:val="17"/>
        </w:numPr>
        <w:tabs>
          <w:tab w:val="left" w:pos="1276"/>
        </w:tabs>
        <w:autoSpaceDE w:val="0"/>
        <w:autoSpaceDN w:val="0"/>
        <w:adjustRightInd w:val="0"/>
        <w:spacing w:after="0" w:line="240" w:lineRule="auto"/>
        <w:ind w:left="567" w:hanging="425"/>
        <w:jc w:val="both"/>
        <w:rPr>
          <w:rFonts w:ascii="Times New Roman" w:eastAsia="Times New Roman" w:hAnsi="Times New Roman"/>
          <w:i/>
          <w:iCs/>
        </w:rPr>
      </w:pPr>
      <w:r w:rsidRPr="000D6E9F">
        <w:rPr>
          <w:rFonts w:ascii="Times New Roman" w:eastAsia="Times New Roman" w:hAnsi="Times New Roman"/>
          <w:i/>
          <w:iCs/>
        </w:rPr>
        <w:t xml:space="preserve">jedną partię wyrobu z uwagi na </w:t>
      </w:r>
      <w:r w:rsidRPr="000D6E9F">
        <w:rPr>
          <w:rFonts w:ascii="Times New Roman" w:hAnsi="Times New Roman"/>
          <w:i/>
          <w:iCs/>
        </w:rPr>
        <w:t xml:space="preserve">przekroczoną datę minimalnej trwałości. </w:t>
      </w:r>
      <w:r w:rsidRPr="000D6E9F">
        <w:rPr>
          <w:rFonts w:ascii="Times New Roman" w:eastAsia="Times New Roman" w:hAnsi="Times New Roman"/>
          <w:i/>
          <w:iCs/>
        </w:rPr>
        <w:t>Kwestionowany wyrób został natychmiast wycofany z obrotu handlowego.</w:t>
      </w:r>
    </w:p>
    <w:p w14:paraId="002D3031" w14:textId="18191FF7" w:rsidR="00E20850" w:rsidRPr="000D6E9F" w:rsidRDefault="00E20850" w:rsidP="005C0B3B">
      <w:pPr>
        <w:widowControl w:val="0"/>
        <w:tabs>
          <w:tab w:val="left" w:pos="1276"/>
        </w:tabs>
        <w:ind w:left="567"/>
        <w:jc w:val="both"/>
        <w:rPr>
          <w:rFonts w:eastAsia="HG Mincho Light J"/>
          <w:i/>
          <w:iCs/>
          <w:sz w:val="22"/>
          <w:szCs w:val="22"/>
        </w:rPr>
      </w:pPr>
      <w:r w:rsidRPr="000D6E9F">
        <w:rPr>
          <w:rFonts w:eastAsia="Times New Roman"/>
          <w:i/>
          <w:iCs/>
          <w:sz w:val="22"/>
          <w:szCs w:val="22"/>
        </w:rPr>
        <w:t>W związku ze stwierdzonymi uchybieniami – w stosunku do kontrolowanego przedsiębiorcy wydano decyzję na podstawie art. 36 ust. 1 oraz art. 41 ustawy o produktach kosmetycznych.</w:t>
      </w:r>
    </w:p>
    <w:p w14:paraId="609E7881" w14:textId="67219737" w:rsidR="00E20850" w:rsidRPr="00E20850" w:rsidRDefault="00E20850" w:rsidP="005C0B3B">
      <w:pPr>
        <w:widowControl w:val="0"/>
        <w:tabs>
          <w:tab w:val="left" w:pos="1276"/>
        </w:tabs>
        <w:autoSpaceDE w:val="0"/>
        <w:autoSpaceDN w:val="0"/>
        <w:adjustRightInd w:val="0"/>
        <w:jc w:val="both"/>
        <w:rPr>
          <w:rFonts w:eastAsia="Times New Roman"/>
          <w:bCs/>
          <w:i/>
          <w:iCs/>
          <w:u w:val="single"/>
        </w:rPr>
      </w:pPr>
    </w:p>
    <w:p w14:paraId="3A81C941" w14:textId="6F1F4212" w:rsidR="00E20850" w:rsidRPr="000D6E9F" w:rsidRDefault="00E20850" w:rsidP="005C0B3B">
      <w:pPr>
        <w:pStyle w:val="Akapitzlist"/>
        <w:widowControl w:val="0"/>
        <w:numPr>
          <w:ilvl w:val="0"/>
          <w:numId w:val="16"/>
        </w:numPr>
        <w:tabs>
          <w:tab w:val="left" w:pos="1276"/>
        </w:tabs>
        <w:autoSpaceDE w:val="0"/>
        <w:autoSpaceDN w:val="0"/>
        <w:adjustRightInd w:val="0"/>
        <w:spacing w:after="0" w:line="240" w:lineRule="auto"/>
        <w:ind w:left="567" w:hanging="425"/>
        <w:jc w:val="both"/>
        <w:rPr>
          <w:rFonts w:ascii="Times New Roman" w:eastAsia="Times New Roman" w:hAnsi="Times New Roman"/>
          <w:i/>
          <w:iCs/>
        </w:rPr>
      </w:pPr>
      <w:r w:rsidRPr="000D6E9F">
        <w:rPr>
          <w:rFonts w:ascii="Times New Roman" w:eastAsia="Times New Roman" w:hAnsi="Times New Roman"/>
          <w:bCs/>
          <w:i/>
          <w:iCs/>
        </w:rPr>
        <w:t xml:space="preserve">kontrola wyrobów włókienniczych </w:t>
      </w:r>
      <w:r w:rsidRPr="000D6E9F">
        <w:rPr>
          <w:rFonts w:ascii="Times New Roman" w:eastAsia="Times New Roman" w:hAnsi="Times New Roman"/>
          <w:i/>
          <w:iCs/>
        </w:rPr>
        <w:t xml:space="preserve">– w jednej z placówek, pobrano do badań laboratoryjnych dwa </w:t>
      </w:r>
      <w:r w:rsidRPr="000D6E9F">
        <w:rPr>
          <w:rFonts w:ascii="Times New Roman" w:eastAsia="Times New Roman" w:hAnsi="Times New Roman"/>
          <w:i/>
          <w:iCs/>
        </w:rPr>
        <w:lastRenderedPageBreak/>
        <w:t>rodzaje płaszczy. Badania laboratoryjne wykazały w obu przypadkach, iż rzeczywisty skład procentowy był niezgodny z deklaracją producenta podaną na wszywce i etykiecie. W przypadku jednego płaszcza producent deklarował między innymi – 60% bawełny, której rzeczywista zawartość wynosiła 0%.</w:t>
      </w:r>
    </w:p>
    <w:p w14:paraId="2012830E" w14:textId="7B8D4880" w:rsidR="00E20850" w:rsidRPr="000D6E9F" w:rsidRDefault="00E20850" w:rsidP="005C0B3B">
      <w:pPr>
        <w:pStyle w:val="Akapitzlist"/>
        <w:widowControl w:val="0"/>
        <w:tabs>
          <w:tab w:val="left" w:pos="1276"/>
        </w:tabs>
        <w:autoSpaceDE w:val="0"/>
        <w:autoSpaceDN w:val="0"/>
        <w:adjustRightInd w:val="0"/>
        <w:spacing w:after="0" w:line="240" w:lineRule="auto"/>
        <w:ind w:left="567"/>
        <w:jc w:val="both"/>
        <w:rPr>
          <w:rFonts w:ascii="Times New Roman" w:eastAsia="Times New Roman" w:hAnsi="Times New Roman"/>
          <w:i/>
          <w:iCs/>
        </w:rPr>
      </w:pPr>
      <w:r w:rsidRPr="000D6E9F">
        <w:rPr>
          <w:rFonts w:ascii="Times New Roman" w:eastAsia="Times New Roman" w:hAnsi="Times New Roman"/>
          <w:i/>
          <w:iCs/>
        </w:rPr>
        <w:t xml:space="preserve">W związku z powyższym do producenta przedmiotowych płaszczy wystosowano wystąpienie pokontrolne w celu wyjaśnienia przyczyn stwierdzonej nieprawidłowości oraz powiadomienia o działaniach podjętych celem jej wyeliminowania. </w:t>
      </w:r>
    </w:p>
    <w:p w14:paraId="3940CF05" w14:textId="4BC6C3AE" w:rsidR="00E20850" w:rsidRPr="000D6E9F" w:rsidRDefault="00E20850" w:rsidP="005C0B3B">
      <w:pPr>
        <w:pStyle w:val="Akapitzlist"/>
        <w:widowControl w:val="0"/>
        <w:tabs>
          <w:tab w:val="left" w:pos="1276"/>
        </w:tabs>
        <w:autoSpaceDE w:val="0"/>
        <w:autoSpaceDN w:val="0"/>
        <w:adjustRightInd w:val="0"/>
        <w:spacing w:after="0" w:line="240" w:lineRule="auto"/>
        <w:ind w:left="567"/>
        <w:jc w:val="both"/>
        <w:rPr>
          <w:rFonts w:ascii="Times New Roman" w:eastAsia="Times New Roman" w:hAnsi="Times New Roman"/>
          <w:i/>
          <w:iCs/>
        </w:rPr>
      </w:pPr>
      <w:r w:rsidRPr="000D6E9F">
        <w:rPr>
          <w:rFonts w:ascii="Times New Roman" w:eastAsia="Times New Roman" w:hAnsi="Times New Roman"/>
          <w:i/>
          <w:iCs/>
        </w:rPr>
        <w:t xml:space="preserve">W odpowiedzi producent poinformował, że składy tkanin płaszczy zostały podane przez importerów tych tkanin, jednakże zobowiązał się dostosować ich oznakowanie do rzeczywistego składu. </w:t>
      </w:r>
    </w:p>
    <w:p w14:paraId="0652B522" w14:textId="23C1427E" w:rsidR="00E20850" w:rsidRPr="000D6E9F" w:rsidRDefault="00E20850" w:rsidP="005C0B3B">
      <w:pPr>
        <w:pStyle w:val="Akapitzlist"/>
        <w:widowControl w:val="0"/>
        <w:tabs>
          <w:tab w:val="left" w:pos="1276"/>
        </w:tabs>
        <w:autoSpaceDE w:val="0"/>
        <w:autoSpaceDN w:val="0"/>
        <w:adjustRightInd w:val="0"/>
        <w:spacing w:after="0" w:line="240" w:lineRule="auto"/>
        <w:ind w:left="567"/>
        <w:jc w:val="both"/>
        <w:rPr>
          <w:rFonts w:ascii="Times New Roman" w:eastAsia="Times New Roman" w:hAnsi="Times New Roman"/>
          <w:i/>
          <w:iCs/>
        </w:rPr>
      </w:pPr>
      <w:r w:rsidRPr="000D6E9F">
        <w:rPr>
          <w:rFonts w:ascii="Times New Roman" w:eastAsia="Times New Roman" w:hAnsi="Times New Roman"/>
          <w:i/>
          <w:iCs/>
        </w:rPr>
        <w:t>W stosunku do kontrolowanego przedsiębiorcy została wydana decyzja w przedmiocie poniesienia kosztów badań laboratoryjnych.</w:t>
      </w:r>
    </w:p>
    <w:p w14:paraId="252CA572" w14:textId="0ECE5235" w:rsidR="00467E14" w:rsidRPr="00856DF7" w:rsidRDefault="00467E14" w:rsidP="00F377D9">
      <w:pPr>
        <w:jc w:val="both"/>
        <w:rPr>
          <w:rFonts w:eastAsia="Times New Roman"/>
        </w:rPr>
      </w:pPr>
    </w:p>
    <w:p w14:paraId="44EE129A" w14:textId="687AC5C2" w:rsidR="00E80632" w:rsidRDefault="000D7AFA" w:rsidP="00F377D9">
      <w:pPr>
        <w:widowControl w:val="0"/>
        <w:autoSpaceDE w:val="0"/>
        <w:autoSpaceDN w:val="0"/>
        <w:adjustRightInd w:val="0"/>
        <w:jc w:val="both"/>
        <w:rPr>
          <w:rFonts w:eastAsia="Times New Roman"/>
          <w:b/>
          <w:bCs/>
        </w:rPr>
      </w:pPr>
      <w:r>
        <w:rPr>
          <w:rFonts w:eastAsia="Times New Roman"/>
          <w:b/>
          <w:bCs/>
        </w:rPr>
        <w:t>7</w:t>
      </w:r>
      <w:r w:rsidR="00A0065F">
        <w:rPr>
          <w:rFonts w:eastAsia="Times New Roman"/>
          <w:b/>
          <w:bCs/>
        </w:rPr>
        <w:t xml:space="preserve">) </w:t>
      </w:r>
      <w:r w:rsidR="00E80632" w:rsidRPr="00856DF7">
        <w:rPr>
          <w:rFonts w:eastAsia="Times New Roman"/>
          <w:b/>
          <w:bCs/>
        </w:rPr>
        <w:t>Kontrola usług</w:t>
      </w:r>
    </w:p>
    <w:p w14:paraId="3E7A0CEC" w14:textId="27B44EFC" w:rsidR="000534E6" w:rsidRPr="00856DF7" w:rsidRDefault="00391456" w:rsidP="00F377D9">
      <w:pPr>
        <w:widowControl w:val="0"/>
        <w:autoSpaceDE w:val="0"/>
        <w:autoSpaceDN w:val="0"/>
        <w:adjustRightInd w:val="0"/>
        <w:jc w:val="both"/>
        <w:rPr>
          <w:rFonts w:eastAsia="Times New Roman"/>
          <w:b/>
          <w:bCs/>
        </w:rPr>
      </w:pPr>
      <w:r w:rsidRPr="00856DF7">
        <w:rPr>
          <w:noProof/>
        </w:rPr>
        <w:drawing>
          <wp:anchor distT="0" distB="0" distL="114300" distR="114300" simplePos="0" relativeHeight="251662848" behindDoc="1" locked="0" layoutInCell="1" allowOverlap="1" wp14:anchorId="2B420479" wp14:editId="570B5D2D">
            <wp:simplePos x="0" y="0"/>
            <wp:positionH relativeFrom="margin">
              <wp:posOffset>3500120</wp:posOffset>
            </wp:positionH>
            <wp:positionV relativeFrom="page">
              <wp:posOffset>3267075</wp:posOffset>
            </wp:positionV>
            <wp:extent cx="2352675" cy="2667000"/>
            <wp:effectExtent l="0" t="0" r="9525" b="0"/>
            <wp:wrapTight wrapText="bothSides">
              <wp:wrapPolygon edited="0">
                <wp:start x="0" y="0"/>
                <wp:lineTo x="0" y="21446"/>
                <wp:lineTo x="21513" y="21446"/>
                <wp:lineTo x="21513" y="0"/>
                <wp:lineTo x="0" y="0"/>
              </wp:wrapPolygon>
            </wp:wrapTight>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1E45AA" w14:textId="772FC45F" w:rsidR="000D7AFA" w:rsidRPr="00786F31" w:rsidRDefault="000D7AFA" w:rsidP="000D7AFA">
      <w:pPr>
        <w:widowControl w:val="0"/>
        <w:suppressAutoHyphens/>
        <w:jc w:val="both"/>
        <w:rPr>
          <w:rFonts w:eastAsia="HG Mincho Light J"/>
          <w:color w:val="FF0000"/>
        </w:rPr>
      </w:pPr>
      <w:r w:rsidRPr="009C2D09">
        <w:rPr>
          <w:rFonts w:eastAsia="HG Mincho Light J"/>
        </w:rPr>
        <w:t xml:space="preserve">Przeprowadzono </w:t>
      </w:r>
      <w:r w:rsidRPr="000D7AFA">
        <w:rPr>
          <w:rFonts w:eastAsia="HG Mincho Light J"/>
          <w:b/>
          <w:bCs/>
        </w:rPr>
        <w:t>90 kontroli</w:t>
      </w:r>
      <w:r>
        <w:rPr>
          <w:rFonts w:eastAsia="HG Mincho Light J"/>
        </w:rPr>
        <w:t xml:space="preserve">, między innymi w zakładach świadczących usługi: turystyczne, hotelarskie, gastronomiczne, fryzjerskie, kosmetyczne oraz w </w:t>
      </w:r>
      <w:r w:rsidRPr="00344791">
        <w:rPr>
          <w:rFonts w:eastAsia="HG Mincho Light J"/>
        </w:rPr>
        <w:t>salach</w:t>
      </w:r>
      <w:r w:rsidRPr="00FE38C1">
        <w:rPr>
          <w:rFonts w:eastAsia="HG Mincho Light J"/>
          <w:color w:val="FF0000"/>
        </w:rPr>
        <w:t xml:space="preserve"> </w:t>
      </w:r>
      <w:r w:rsidRPr="00344791">
        <w:rPr>
          <w:rFonts w:eastAsia="HG Mincho Light J"/>
        </w:rPr>
        <w:t>zabaw,</w:t>
      </w:r>
      <w:r>
        <w:rPr>
          <w:rFonts w:eastAsia="HG Mincho Light J"/>
        </w:rPr>
        <w:t xml:space="preserve"> </w:t>
      </w:r>
      <w:r w:rsidRPr="00A87A70">
        <w:rPr>
          <w:rFonts w:eastAsia="HG Mincho Light J"/>
        </w:rPr>
        <w:t>parkingach,</w:t>
      </w:r>
      <w:r w:rsidRPr="00A87A70">
        <w:rPr>
          <w:rFonts w:eastAsia="HG Mincho Light J"/>
          <w:color w:val="FF0000"/>
        </w:rPr>
        <w:t xml:space="preserve"> </w:t>
      </w:r>
      <w:r w:rsidRPr="007A04D1">
        <w:rPr>
          <w:rFonts w:eastAsia="HG Mincho Light J"/>
        </w:rPr>
        <w:t>myjniach samochodowych</w:t>
      </w:r>
      <w:r>
        <w:rPr>
          <w:rFonts w:eastAsia="HG Mincho Light J"/>
        </w:rPr>
        <w:t xml:space="preserve"> i</w:t>
      </w:r>
      <w:r w:rsidRPr="007A04D1">
        <w:rPr>
          <w:rFonts w:eastAsia="HG Mincho Light J"/>
        </w:rPr>
        <w:t xml:space="preserve"> </w:t>
      </w:r>
      <w:r w:rsidRPr="00344791">
        <w:rPr>
          <w:rFonts w:eastAsia="HG Mincho Light J"/>
        </w:rPr>
        <w:t>zakładach fotograficznych</w:t>
      </w:r>
      <w:r w:rsidRPr="00A87A70">
        <w:rPr>
          <w:rFonts w:eastAsia="HG Mincho Light J"/>
        </w:rPr>
        <w:t xml:space="preserve">. </w:t>
      </w:r>
      <w:r w:rsidR="0027376C">
        <w:rPr>
          <w:rFonts w:eastAsia="HG Mincho Light J"/>
        </w:rPr>
        <w:t xml:space="preserve">Nieprawidłowości stwierdzono </w:t>
      </w:r>
      <w:r w:rsidR="00E00FA7">
        <w:rPr>
          <w:rFonts w:eastAsia="HG Mincho Light J"/>
        </w:rPr>
        <w:t xml:space="preserve">w trakcie </w:t>
      </w:r>
      <w:r w:rsidR="00E00FA7" w:rsidRPr="00E00FA7">
        <w:rPr>
          <w:rFonts w:eastAsia="HG Mincho Light J"/>
          <w:b/>
          <w:bCs/>
        </w:rPr>
        <w:t>48 kontroli</w:t>
      </w:r>
      <w:r w:rsidR="00E00FA7">
        <w:rPr>
          <w:rFonts w:eastAsia="HG Mincho Light J"/>
        </w:rPr>
        <w:t xml:space="preserve"> (53% wszystkich kontroli). </w:t>
      </w:r>
      <w:r>
        <w:rPr>
          <w:rFonts w:eastAsia="HG Mincho Light J"/>
        </w:rPr>
        <w:t>S</w:t>
      </w:r>
      <w:r w:rsidRPr="009C2D09">
        <w:rPr>
          <w:rFonts w:eastAsia="HG Mincho Light J"/>
        </w:rPr>
        <w:t>prawdzeniem</w:t>
      </w:r>
      <w:r>
        <w:rPr>
          <w:rFonts w:eastAsia="HG Mincho Light J"/>
        </w:rPr>
        <w:t xml:space="preserve"> objęto </w:t>
      </w:r>
      <w:r w:rsidRPr="00344791">
        <w:rPr>
          <w:rFonts w:eastAsia="HG Mincho Light J"/>
          <w:b/>
          <w:bCs/>
        </w:rPr>
        <w:t>4879 produktów</w:t>
      </w:r>
      <w:r w:rsidRPr="00344791">
        <w:rPr>
          <w:rFonts w:eastAsia="HG Mincho Light J"/>
        </w:rPr>
        <w:t xml:space="preserve">, </w:t>
      </w:r>
      <w:r w:rsidRPr="009C2D09">
        <w:rPr>
          <w:rFonts w:eastAsia="HG Mincho Light J"/>
        </w:rPr>
        <w:t xml:space="preserve">stwierdzając nieprawidłowości w odniesieniu do </w:t>
      </w:r>
      <w:r w:rsidRPr="000D7AFA">
        <w:rPr>
          <w:rFonts w:eastAsia="HG Mincho Light J"/>
          <w:b/>
          <w:bCs/>
        </w:rPr>
        <w:t>1092</w:t>
      </w:r>
      <w:r w:rsidRPr="000410F1">
        <w:rPr>
          <w:rFonts w:eastAsia="HG Mincho Light J"/>
        </w:rPr>
        <w:t xml:space="preserve"> (</w:t>
      </w:r>
      <w:r>
        <w:rPr>
          <w:rFonts w:eastAsia="HG Mincho Light J"/>
        </w:rPr>
        <w:t>tj. 22,4</w:t>
      </w:r>
      <w:r w:rsidRPr="000410F1">
        <w:rPr>
          <w:rFonts w:eastAsia="HG Mincho Light J"/>
        </w:rPr>
        <w:t>%).</w:t>
      </w:r>
      <w:r w:rsidRPr="000410F1">
        <w:rPr>
          <w:rFonts w:eastAsia="HG Mincho Light J"/>
          <w:noProof/>
        </w:rPr>
        <w:t xml:space="preserve"> </w:t>
      </w:r>
    </w:p>
    <w:p w14:paraId="18632B48" w14:textId="483B5839" w:rsidR="000D7AFA" w:rsidRDefault="000D7AFA" w:rsidP="000D7AFA">
      <w:pPr>
        <w:widowControl w:val="0"/>
        <w:autoSpaceDE w:val="0"/>
        <w:autoSpaceDN w:val="0"/>
        <w:adjustRightInd w:val="0"/>
        <w:jc w:val="both"/>
        <w:rPr>
          <w:rFonts w:eastAsia="Times New Roman"/>
        </w:rPr>
      </w:pPr>
    </w:p>
    <w:p w14:paraId="5FE00FA5" w14:textId="179A3CC9" w:rsidR="000D7AFA" w:rsidRPr="000D6E9F" w:rsidRDefault="000D7AFA" w:rsidP="000D7AFA">
      <w:pPr>
        <w:widowControl w:val="0"/>
        <w:autoSpaceDE w:val="0"/>
        <w:autoSpaceDN w:val="0"/>
        <w:adjustRightInd w:val="0"/>
        <w:jc w:val="both"/>
        <w:rPr>
          <w:rFonts w:eastAsia="Times New Roman"/>
          <w:bCs/>
          <w:i/>
          <w:iCs/>
          <w:sz w:val="22"/>
          <w:szCs w:val="22"/>
          <w:u w:val="single"/>
        </w:rPr>
      </w:pPr>
      <w:r w:rsidRPr="000D6E9F">
        <w:rPr>
          <w:rFonts w:eastAsia="Times New Roman"/>
          <w:bCs/>
          <w:i/>
          <w:iCs/>
          <w:sz w:val="22"/>
          <w:szCs w:val="22"/>
          <w:u w:val="single"/>
        </w:rPr>
        <w:t>Przykłady:</w:t>
      </w:r>
    </w:p>
    <w:p w14:paraId="31C50F79" w14:textId="0FF872C7" w:rsidR="000D7AFA" w:rsidRPr="000D6E9F" w:rsidRDefault="000D7AFA" w:rsidP="000D7AFA">
      <w:pPr>
        <w:pStyle w:val="Akapitzlist"/>
        <w:widowControl w:val="0"/>
        <w:numPr>
          <w:ilvl w:val="0"/>
          <w:numId w:val="16"/>
        </w:numPr>
        <w:tabs>
          <w:tab w:val="left" w:pos="426"/>
        </w:tabs>
        <w:autoSpaceDE w:val="0"/>
        <w:autoSpaceDN w:val="0"/>
        <w:adjustRightInd w:val="0"/>
        <w:spacing w:after="0" w:line="240" w:lineRule="auto"/>
        <w:ind w:left="426"/>
        <w:jc w:val="both"/>
        <w:rPr>
          <w:rFonts w:ascii="Times New Roman" w:eastAsia="Times New Roman" w:hAnsi="Times New Roman"/>
          <w:b/>
          <w:bCs/>
          <w:i/>
          <w:iCs/>
        </w:rPr>
      </w:pPr>
      <w:r w:rsidRPr="000D6E9F">
        <w:rPr>
          <w:rFonts w:ascii="Times New Roman" w:eastAsia="Times New Roman" w:hAnsi="Times New Roman"/>
          <w:bCs/>
          <w:i/>
          <w:iCs/>
        </w:rPr>
        <w:t xml:space="preserve">kontrola legalności i rzetelności świadczenia usług gastronomicznych w miejscowościach turystycznych, na dworcach kolejowych i autobusowych oraz na stacjach paliw i głównych szlakach komunikacyjnych </w:t>
      </w:r>
      <w:r w:rsidRPr="000D6E9F">
        <w:rPr>
          <w:rFonts w:ascii="Times New Roman" w:eastAsia="Times New Roman" w:hAnsi="Times New Roman"/>
          <w:i/>
          <w:iCs/>
        </w:rPr>
        <w:t>– przedmiotem kontroli w jednej z placówek była między innymi rzetelność obsługi klientów obejmująca prawidłowość ustalenia wagi netto, wyliczenia należności, legalizację narzędzi pomiarowych, zgodność zakupionego towaru z zamówieniem oraz prawidłowość</w:t>
      </w:r>
      <w:r w:rsidRPr="000D6E9F">
        <w:rPr>
          <w:rFonts w:eastAsia="Times New Roman"/>
          <w:bCs/>
          <w:i/>
          <w:iCs/>
        </w:rPr>
        <w:t xml:space="preserve"> </w:t>
      </w:r>
      <w:r w:rsidRPr="000D6E9F">
        <w:rPr>
          <w:rFonts w:ascii="Times New Roman" w:eastAsia="Times New Roman" w:hAnsi="Times New Roman"/>
          <w:bCs/>
          <w:i/>
          <w:iCs/>
        </w:rPr>
        <w:t>i</w:t>
      </w:r>
      <w:r w:rsidRPr="000D6E9F">
        <w:rPr>
          <w:rFonts w:ascii="Times New Roman" w:eastAsia="HG Mincho Light J" w:hAnsi="Times New Roman"/>
          <w:bCs/>
          <w:i/>
          <w:iCs/>
        </w:rPr>
        <w:t>nformowania konsumentów o cenach towarów i usług.</w:t>
      </w:r>
    </w:p>
    <w:p w14:paraId="6FEF6953" w14:textId="58BA32A9" w:rsidR="000D7AFA" w:rsidRPr="000D6E9F" w:rsidRDefault="000D7AFA" w:rsidP="00CB6FBB">
      <w:pPr>
        <w:widowControl w:val="0"/>
        <w:tabs>
          <w:tab w:val="left" w:pos="851"/>
          <w:tab w:val="left" w:pos="993"/>
        </w:tabs>
        <w:autoSpaceDE w:val="0"/>
        <w:autoSpaceDN w:val="0"/>
        <w:adjustRightInd w:val="0"/>
        <w:ind w:left="426"/>
        <w:jc w:val="both"/>
        <w:rPr>
          <w:rFonts w:eastAsia="Times New Roman"/>
          <w:i/>
          <w:iCs/>
          <w:sz w:val="22"/>
          <w:szCs w:val="22"/>
        </w:rPr>
      </w:pPr>
      <w:r w:rsidRPr="000D6E9F">
        <w:rPr>
          <w:rFonts w:eastAsia="Times New Roman"/>
          <w:i/>
          <w:iCs/>
          <w:sz w:val="22"/>
          <w:szCs w:val="22"/>
        </w:rPr>
        <w:t>W trakcie kontroli ustalono, iż:</w:t>
      </w:r>
    </w:p>
    <w:p w14:paraId="4EA88339" w14:textId="147CB43D" w:rsidR="000D7AFA" w:rsidRPr="000D6E9F" w:rsidRDefault="000D7AFA" w:rsidP="000D7AFA">
      <w:pPr>
        <w:pStyle w:val="Akapitzlist"/>
        <w:widowControl w:val="0"/>
        <w:numPr>
          <w:ilvl w:val="0"/>
          <w:numId w:val="18"/>
        </w:numPr>
        <w:tabs>
          <w:tab w:val="left" w:pos="851"/>
          <w:tab w:val="left" w:pos="993"/>
        </w:tabs>
        <w:autoSpaceDE w:val="0"/>
        <w:autoSpaceDN w:val="0"/>
        <w:adjustRightInd w:val="0"/>
        <w:spacing w:after="0" w:line="240" w:lineRule="auto"/>
        <w:ind w:left="709" w:hanging="360"/>
        <w:jc w:val="both"/>
        <w:rPr>
          <w:rFonts w:ascii="Times New Roman" w:eastAsia="Times New Roman" w:hAnsi="Times New Roman"/>
          <w:b/>
          <w:bCs/>
          <w:i/>
          <w:iCs/>
        </w:rPr>
      </w:pPr>
      <w:r w:rsidRPr="000D6E9F">
        <w:rPr>
          <w:rFonts w:ascii="Times New Roman" w:eastAsia="Times New Roman" w:hAnsi="Times New Roman"/>
          <w:i/>
          <w:iCs/>
        </w:rPr>
        <w:t xml:space="preserve">zakupiona sałatka nie była zgodna z zamówieniem, gdyż nie posiadała składnika, który był deklarowany w karcie menu, </w:t>
      </w:r>
    </w:p>
    <w:p w14:paraId="31BEF51A" w14:textId="77777777" w:rsidR="000D7AFA" w:rsidRPr="000D6E9F" w:rsidRDefault="000D7AFA" w:rsidP="000D7AFA">
      <w:pPr>
        <w:pStyle w:val="Akapitzlist"/>
        <w:widowControl w:val="0"/>
        <w:numPr>
          <w:ilvl w:val="0"/>
          <w:numId w:val="18"/>
        </w:numPr>
        <w:tabs>
          <w:tab w:val="left" w:pos="851"/>
          <w:tab w:val="left" w:pos="993"/>
        </w:tabs>
        <w:autoSpaceDE w:val="0"/>
        <w:autoSpaceDN w:val="0"/>
        <w:adjustRightInd w:val="0"/>
        <w:spacing w:after="0" w:line="240" w:lineRule="auto"/>
        <w:ind w:left="709" w:hanging="360"/>
        <w:jc w:val="both"/>
        <w:rPr>
          <w:rFonts w:ascii="Times New Roman" w:eastAsia="Times New Roman" w:hAnsi="Times New Roman"/>
          <w:b/>
          <w:bCs/>
          <w:i/>
          <w:iCs/>
        </w:rPr>
      </w:pPr>
      <w:r w:rsidRPr="000D6E9F">
        <w:rPr>
          <w:rFonts w:ascii="Times New Roman" w:eastAsia="Times New Roman" w:hAnsi="Times New Roman"/>
          <w:i/>
          <w:iCs/>
        </w:rPr>
        <w:t>w składzie zamówionej sałatki zastąpiono droższy składnik tańszym produktem – stwierdzono podmianę asortymentową,</w:t>
      </w:r>
    </w:p>
    <w:p w14:paraId="05CDC6A8" w14:textId="0E480988" w:rsidR="000D7AFA" w:rsidRPr="000D6E9F" w:rsidRDefault="000D7AFA" w:rsidP="000D7AFA">
      <w:pPr>
        <w:pStyle w:val="Akapitzlist"/>
        <w:widowControl w:val="0"/>
        <w:numPr>
          <w:ilvl w:val="0"/>
          <w:numId w:val="18"/>
        </w:numPr>
        <w:tabs>
          <w:tab w:val="left" w:pos="851"/>
          <w:tab w:val="left" w:pos="993"/>
        </w:tabs>
        <w:autoSpaceDE w:val="0"/>
        <w:autoSpaceDN w:val="0"/>
        <w:adjustRightInd w:val="0"/>
        <w:spacing w:after="0" w:line="240" w:lineRule="auto"/>
        <w:ind w:left="709" w:hanging="360"/>
        <w:jc w:val="both"/>
        <w:rPr>
          <w:rFonts w:ascii="Times New Roman" w:eastAsia="Times New Roman" w:hAnsi="Times New Roman"/>
          <w:b/>
          <w:bCs/>
          <w:i/>
          <w:iCs/>
        </w:rPr>
      </w:pPr>
      <w:r w:rsidRPr="000D6E9F">
        <w:rPr>
          <w:rFonts w:ascii="Times New Roman" w:eastAsia="Times New Roman" w:hAnsi="Times New Roman"/>
          <w:i/>
          <w:iCs/>
        </w:rPr>
        <w:t>przy 31 produktach nie podano określenia ilości potraw lub wyrobów,</w:t>
      </w:r>
    </w:p>
    <w:p w14:paraId="424AD733" w14:textId="77777777" w:rsidR="000D7AFA" w:rsidRPr="000D6E9F" w:rsidRDefault="000D7AFA" w:rsidP="000D7AFA">
      <w:pPr>
        <w:pStyle w:val="Akapitzlist"/>
        <w:widowControl w:val="0"/>
        <w:numPr>
          <w:ilvl w:val="0"/>
          <w:numId w:val="18"/>
        </w:numPr>
        <w:tabs>
          <w:tab w:val="left" w:pos="851"/>
          <w:tab w:val="left" w:pos="993"/>
        </w:tabs>
        <w:autoSpaceDE w:val="0"/>
        <w:autoSpaceDN w:val="0"/>
        <w:adjustRightInd w:val="0"/>
        <w:spacing w:after="0" w:line="240" w:lineRule="auto"/>
        <w:ind w:left="709" w:hanging="360"/>
        <w:jc w:val="both"/>
        <w:rPr>
          <w:rFonts w:ascii="Times New Roman" w:eastAsia="Times New Roman" w:hAnsi="Times New Roman"/>
          <w:b/>
          <w:bCs/>
          <w:i/>
          <w:iCs/>
        </w:rPr>
      </w:pPr>
      <w:r w:rsidRPr="000D6E9F">
        <w:rPr>
          <w:rFonts w:ascii="Times New Roman" w:eastAsia="Times New Roman" w:hAnsi="Times New Roman"/>
          <w:i/>
          <w:iCs/>
        </w:rPr>
        <w:t>wagi stosowane do ważenia potraw posiadały nieaktualne cechy legalizacji.</w:t>
      </w:r>
    </w:p>
    <w:p w14:paraId="4C2E93E5" w14:textId="77777777" w:rsidR="000D7AFA" w:rsidRPr="000D6E9F" w:rsidRDefault="000D7AFA" w:rsidP="000D7AFA">
      <w:pPr>
        <w:widowControl w:val="0"/>
        <w:tabs>
          <w:tab w:val="left" w:pos="851"/>
          <w:tab w:val="left" w:pos="993"/>
        </w:tabs>
        <w:autoSpaceDE w:val="0"/>
        <w:autoSpaceDN w:val="0"/>
        <w:adjustRightInd w:val="0"/>
        <w:ind w:left="709"/>
        <w:jc w:val="both"/>
        <w:rPr>
          <w:rFonts w:eastAsia="Times New Roman"/>
          <w:i/>
          <w:iCs/>
          <w:sz w:val="22"/>
          <w:szCs w:val="22"/>
        </w:rPr>
      </w:pPr>
      <w:r w:rsidRPr="000D6E9F">
        <w:rPr>
          <w:rFonts w:eastAsia="Times New Roman"/>
          <w:i/>
          <w:iCs/>
          <w:sz w:val="22"/>
          <w:szCs w:val="22"/>
        </w:rPr>
        <w:t xml:space="preserve">W trakcie kontroli przedsiębiorca uzupełnił dane brakujące w karcie menu. </w:t>
      </w:r>
    </w:p>
    <w:p w14:paraId="31ECA643" w14:textId="73F0C1B3" w:rsidR="000D7AFA" w:rsidRPr="000D6E9F" w:rsidRDefault="000D7AFA" w:rsidP="000D7AFA">
      <w:pPr>
        <w:widowControl w:val="0"/>
        <w:tabs>
          <w:tab w:val="left" w:pos="851"/>
          <w:tab w:val="left" w:pos="993"/>
        </w:tabs>
        <w:autoSpaceDE w:val="0"/>
        <w:autoSpaceDN w:val="0"/>
        <w:adjustRightInd w:val="0"/>
        <w:ind w:left="709"/>
        <w:jc w:val="both"/>
        <w:rPr>
          <w:rFonts w:eastAsia="Times New Roman"/>
          <w:i/>
          <w:iCs/>
          <w:sz w:val="22"/>
          <w:szCs w:val="22"/>
        </w:rPr>
      </w:pPr>
      <w:r w:rsidRPr="000D6E9F">
        <w:rPr>
          <w:rFonts w:eastAsia="Times New Roman"/>
          <w:i/>
          <w:iCs/>
          <w:sz w:val="22"/>
          <w:szCs w:val="22"/>
        </w:rPr>
        <w:t xml:space="preserve">W następstwie dokonanych ustaleń skierowano pismo do WIJHARS z informacją </w:t>
      </w:r>
      <w:r w:rsidRPr="000D6E9F">
        <w:rPr>
          <w:rFonts w:eastAsia="Times New Roman"/>
          <w:i/>
          <w:iCs/>
          <w:sz w:val="22"/>
          <w:szCs w:val="22"/>
        </w:rPr>
        <w:br/>
        <w:t xml:space="preserve">o stwierdzonych w trakcie zakupu nieprawidłowościach dotyczących niezgodności produktów z zamówieniem, wycofano z obrotu kwestionowane wagi do czasu ich zalegalizowania, nałożono mandat karny oraz wymierzono karę administracyjną na podstawie art. 6 ust. 1 ustawy o informowaniu o cenach towarów i usług. </w:t>
      </w:r>
    </w:p>
    <w:p w14:paraId="5EB32BA9" w14:textId="77777777" w:rsidR="000D7AFA" w:rsidRPr="000D7AFA" w:rsidRDefault="000D7AFA" w:rsidP="000D7AFA">
      <w:pPr>
        <w:widowControl w:val="0"/>
        <w:tabs>
          <w:tab w:val="left" w:pos="426"/>
        </w:tabs>
        <w:suppressAutoHyphens/>
        <w:ind w:left="426"/>
        <w:jc w:val="both"/>
        <w:rPr>
          <w:rFonts w:eastAsia="HG Mincho Light J"/>
          <w:b/>
          <w:bCs/>
          <w:i/>
          <w:iCs/>
          <w:color w:val="FF0000"/>
          <w:u w:val="single"/>
        </w:rPr>
      </w:pPr>
    </w:p>
    <w:p w14:paraId="1A9ECBA3" w14:textId="77777777" w:rsidR="000D7AFA" w:rsidRPr="000D6E9F" w:rsidRDefault="000D7AFA" w:rsidP="000D7AFA">
      <w:pPr>
        <w:pStyle w:val="Akapitzlist"/>
        <w:numPr>
          <w:ilvl w:val="0"/>
          <w:numId w:val="16"/>
        </w:numPr>
        <w:tabs>
          <w:tab w:val="left" w:pos="426"/>
        </w:tabs>
        <w:spacing w:after="0" w:line="240" w:lineRule="auto"/>
        <w:ind w:left="426"/>
        <w:jc w:val="both"/>
        <w:rPr>
          <w:rFonts w:ascii="Times New Roman" w:hAnsi="Times New Roman"/>
          <w:i/>
          <w:iCs/>
        </w:rPr>
      </w:pPr>
      <w:r w:rsidRPr="000D6E9F">
        <w:rPr>
          <w:rFonts w:ascii="Times New Roman" w:eastAsia="Times New Roman" w:hAnsi="Times New Roman"/>
          <w:bCs/>
          <w:i/>
          <w:iCs/>
        </w:rPr>
        <w:t xml:space="preserve">kontrola legalności i rzetelności przedsiębiorców świadczących usługi hotelarskie </w:t>
      </w:r>
      <w:r w:rsidRPr="000D6E9F">
        <w:rPr>
          <w:rFonts w:ascii="Times New Roman" w:eastAsia="Times New Roman" w:hAnsi="Times New Roman"/>
          <w:i/>
          <w:iCs/>
        </w:rPr>
        <w:t>– w jednej z placówek stwierdzono brak wpisu do ewidencji innych obiektów niebędących obiektami hotelarskimi w których świadczone są usługi hotelarskie, posługiwanie się nazwą hotel bez decyzji administracyjnej bądź promesy wydanej przez marszałka województwa o zaszeregowaniu obiektu, brak kompletnego wyposażenia w pokojach wymaganego przepisami prawa, brak cennika świadczonych usług oraz brak w menu ilości oferowanych wyrobów i napojów.</w:t>
      </w:r>
    </w:p>
    <w:p w14:paraId="58F6EC81" w14:textId="77777777" w:rsidR="000D7AFA" w:rsidRPr="000D6E9F" w:rsidRDefault="000D7AFA" w:rsidP="000D7AFA">
      <w:pPr>
        <w:pStyle w:val="Akapitzlist"/>
        <w:tabs>
          <w:tab w:val="left" w:pos="426"/>
        </w:tabs>
        <w:spacing w:after="0" w:line="240" w:lineRule="auto"/>
        <w:ind w:left="426"/>
        <w:jc w:val="both"/>
        <w:rPr>
          <w:rFonts w:ascii="Times New Roman" w:hAnsi="Times New Roman"/>
          <w:i/>
          <w:iCs/>
        </w:rPr>
      </w:pPr>
      <w:r w:rsidRPr="000D6E9F">
        <w:rPr>
          <w:rFonts w:ascii="Times New Roman" w:eastAsia="Times New Roman" w:hAnsi="Times New Roman"/>
          <w:i/>
          <w:iCs/>
        </w:rPr>
        <w:lastRenderedPageBreak/>
        <w:t xml:space="preserve">Na etapie kontroli przedsiębiorca podjął dobrowolne działania naprawcze. Nieprawidłowości zostały wyeliminowane. </w:t>
      </w:r>
    </w:p>
    <w:p w14:paraId="13DBE4DC" w14:textId="2C1ADFEC" w:rsidR="000D7AFA" w:rsidRPr="000D6E9F" w:rsidRDefault="000D7AFA" w:rsidP="000D7AFA">
      <w:pPr>
        <w:pStyle w:val="Akapitzlist"/>
        <w:widowControl w:val="0"/>
        <w:tabs>
          <w:tab w:val="left" w:pos="426"/>
        </w:tabs>
        <w:spacing w:after="0" w:line="240" w:lineRule="auto"/>
        <w:ind w:left="426"/>
        <w:jc w:val="both"/>
        <w:rPr>
          <w:rFonts w:ascii="Times New Roman" w:eastAsia="Times New Roman" w:hAnsi="Times New Roman"/>
          <w:i/>
          <w:iCs/>
        </w:rPr>
      </w:pPr>
      <w:r w:rsidRPr="000D6E9F">
        <w:rPr>
          <w:rFonts w:ascii="Times New Roman" w:eastAsia="Times New Roman" w:hAnsi="Times New Roman"/>
          <w:i/>
          <w:iCs/>
        </w:rPr>
        <w:t>Kontrolowanego przedsiębiorcę ukarano mandatem karnym kredytowanym na podstawie art. 60</w:t>
      </w:r>
      <w:r w:rsidRPr="000D6E9F">
        <w:rPr>
          <w:rFonts w:ascii="Times New Roman" w:eastAsia="Times New Roman" w:hAnsi="Times New Roman"/>
          <w:i/>
          <w:iCs/>
          <w:vertAlign w:val="superscript"/>
        </w:rPr>
        <w:t>1</w:t>
      </w:r>
      <w:r w:rsidRPr="000D6E9F">
        <w:rPr>
          <w:rFonts w:ascii="Times New Roman" w:eastAsia="Times New Roman" w:hAnsi="Times New Roman"/>
          <w:i/>
          <w:iCs/>
        </w:rPr>
        <w:t xml:space="preserve">§ 4 pkt 2 i 3 Kodeksu wykroczeń, ponadto wydano decyzję administracyjną wymierzającą karę pieniężną na podstawie art. 6 ust. 1 ustawy o informowaniu o cenach towarów i usług.  </w:t>
      </w:r>
    </w:p>
    <w:p w14:paraId="6C442929" w14:textId="77777777" w:rsidR="00FE38C1" w:rsidRDefault="00FE38C1" w:rsidP="000D7AFA">
      <w:pPr>
        <w:pStyle w:val="Akapitzlist"/>
        <w:widowControl w:val="0"/>
        <w:tabs>
          <w:tab w:val="left" w:pos="426"/>
        </w:tabs>
        <w:spacing w:after="0" w:line="240" w:lineRule="auto"/>
        <w:ind w:left="426"/>
        <w:jc w:val="both"/>
        <w:rPr>
          <w:rFonts w:ascii="Times New Roman" w:eastAsia="Times New Roman" w:hAnsi="Times New Roman"/>
          <w:i/>
          <w:iCs/>
          <w:sz w:val="24"/>
          <w:szCs w:val="24"/>
        </w:rPr>
      </w:pPr>
    </w:p>
    <w:p w14:paraId="25AEE94B" w14:textId="77A9B774" w:rsidR="00A13922" w:rsidRPr="00A81A82" w:rsidRDefault="00A13922" w:rsidP="00A13922">
      <w:pPr>
        <w:jc w:val="both"/>
        <w:rPr>
          <w:rFonts w:eastAsia="HG Mincho Light J"/>
          <w:b/>
          <w:bCs/>
          <w:i/>
        </w:rPr>
      </w:pPr>
      <w:r w:rsidRPr="00A13922">
        <w:rPr>
          <w:rFonts w:eastAsia="Times New Roman"/>
          <w:b/>
          <w:bCs/>
        </w:rPr>
        <w:t xml:space="preserve">8) </w:t>
      </w:r>
      <w:r w:rsidRPr="00A13922">
        <w:rPr>
          <w:rFonts w:eastAsia="HG Mincho Light J"/>
          <w:b/>
          <w:bCs/>
        </w:rPr>
        <w:t>Ko</w:t>
      </w:r>
      <w:r>
        <w:rPr>
          <w:rFonts w:eastAsia="HG Mincho Light J"/>
          <w:b/>
          <w:bCs/>
        </w:rPr>
        <w:t>ntrole zlecone przez UOKiK</w:t>
      </w:r>
      <w:r w:rsidR="00786F31">
        <w:rPr>
          <w:rFonts w:eastAsia="HG Mincho Light J"/>
          <w:b/>
          <w:bCs/>
        </w:rPr>
        <w:t xml:space="preserve"> poza </w:t>
      </w:r>
      <w:r w:rsidR="00786F31" w:rsidRPr="00A81A82">
        <w:rPr>
          <w:rFonts w:eastAsia="HG Mincho Light J"/>
          <w:b/>
          <w:bCs/>
          <w:i/>
        </w:rPr>
        <w:t>Rocznym planem kontroli</w:t>
      </w:r>
    </w:p>
    <w:p w14:paraId="17B2032A" w14:textId="77777777" w:rsidR="00A13922" w:rsidRDefault="00A13922" w:rsidP="00A13922">
      <w:pPr>
        <w:jc w:val="both"/>
        <w:rPr>
          <w:rFonts w:eastAsia="Times New Roman"/>
        </w:rPr>
      </w:pPr>
    </w:p>
    <w:p w14:paraId="5905D907" w14:textId="69E8DE8E" w:rsidR="00A13922" w:rsidRPr="00347FDD" w:rsidRDefault="00A13922" w:rsidP="00A13922">
      <w:pPr>
        <w:jc w:val="both"/>
        <w:rPr>
          <w:rFonts w:eastAsia="HG Mincho Light J"/>
        </w:rPr>
      </w:pPr>
      <w:r w:rsidRPr="00347FDD">
        <w:rPr>
          <w:rFonts w:eastAsia="HG Mincho Light J"/>
        </w:rPr>
        <w:t xml:space="preserve">W związku ze zleceniami Prezesa UOKiK przeprowadzono </w:t>
      </w:r>
      <w:r w:rsidRPr="00347FDD">
        <w:rPr>
          <w:rFonts w:eastAsia="HG Mincho Light J"/>
          <w:b/>
        </w:rPr>
        <w:t>339 kontroli.</w:t>
      </w:r>
      <w:r w:rsidRPr="00347FDD">
        <w:rPr>
          <w:rFonts w:eastAsia="HG Mincho Light J"/>
        </w:rPr>
        <w:t xml:space="preserve"> Kontrole przeprowadzono na podstawie trzech zleceń z UOKiK które dotyczyły: </w:t>
      </w:r>
    </w:p>
    <w:p w14:paraId="5063B649" w14:textId="77777777" w:rsidR="00A13922" w:rsidRPr="00347FDD" w:rsidRDefault="00A13922" w:rsidP="00A13922">
      <w:pPr>
        <w:jc w:val="both"/>
        <w:rPr>
          <w:rFonts w:eastAsia="HG Mincho Light J"/>
        </w:rPr>
      </w:pPr>
    </w:p>
    <w:p w14:paraId="02E3E642" w14:textId="2D4F6025" w:rsidR="00A13922" w:rsidRPr="005F79BE" w:rsidRDefault="00A13922" w:rsidP="005F79BE">
      <w:pPr>
        <w:numPr>
          <w:ilvl w:val="0"/>
          <w:numId w:val="12"/>
        </w:numPr>
        <w:spacing w:after="120"/>
        <w:ind w:left="714" w:hanging="357"/>
        <w:jc w:val="both"/>
        <w:rPr>
          <w:rFonts w:eastAsia="HG Mincho Light J"/>
          <w:b/>
          <w:bCs/>
        </w:rPr>
      </w:pPr>
      <w:r w:rsidRPr="00347FDD">
        <w:rPr>
          <w:rFonts w:eastAsia="HG Mincho Light J"/>
          <w:b/>
          <w:bCs/>
        </w:rPr>
        <w:t>Zbadania zasad dystrybucji paliw stałych</w:t>
      </w:r>
      <w:r w:rsidR="00786F31">
        <w:rPr>
          <w:rFonts w:eastAsia="HG Mincho Light J"/>
          <w:b/>
          <w:bCs/>
        </w:rPr>
        <w:t xml:space="preserve"> – etap wstępny</w:t>
      </w:r>
      <w:r w:rsidRPr="00347FDD">
        <w:rPr>
          <w:rFonts w:eastAsia="HG Mincho Light J"/>
          <w:b/>
          <w:bCs/>
        </w:rPr>
        <w:t>.</w:t>
      </w:r>
    </w:p>
    <w:p w14:paraId="6CAB829D" w14:textId="4C7EED2C" w:rsidR="00A13922" w:rsidRDefault="00A13922" w:rsidP="00A13922">
      <w:pPr>
        <w:jc w:val="both"/>
        <w:rPr>
          <w:rFonts w:eastAsia="HG Mincho Light J"/>
        </w:rPr>
      </w:pPr>
      <w:r w:rsidRPr="00347FDD">
        <w:rPr>
          <w:rFonts w:eastAsia="HG Mincho Light J"/>
        </w:rPr>
        <w:t xml:space="preserve">W powyższym zakresie przeprowadzono </w:t>
      </w:r>
      <w:r w:rsidRPr="00347FDD">
        <w:rPr>
          <w:rFonts w:eastAsia="HG Mincho Light J"/>
          <w:b/>
          <w:bCs/>
        </w:rPr>
        <w:t>15 kontroli</w:t>
      </w:r>
      <w:r w:rsidRPr="00347FDD">
        <w:rPr>
          <w:rFonts w:eastAsia="HG Mincho Light J"/>
        </w:rPr>
        <w:t xml:space="preserve">. Głównym celem kontroli było zbadanie i ustalenie zasad dystrybucji paliw stałych, w tym dostępności węgla w składach, ustalenie stanów magazynowych, a także zbadanie sposobu kształtowania cen. Kontrole odbywały się w sierpniu 2022 roku. W trakcie ich trwania przedsiębiorcom pozostawiono do wypełnienia załączniki dotyczące dystrybucji węgla. W wymienionych załącznikach przedsiębiorcy podawali informacje między innymi o stanach magazynowych węgla kamiennego, wyjaśniali czy mieli trudności w nabyciu węgla kamiennego od dostawców, informowali o swoich największych dostawcach oraz o ilościach w jakich nabywali węgiel kamienny. Przedsiębiorcy wskazywali również czy nastąpiły zmiany w umowach z dostawcami węgla kamiennego. W załącznikach przekazanych przez przedsiębiorców podane były również informacje o terminach dostaw węgla kamiennego, rodzaju odbiorców jakich zaopatrują w węgiel kamienny (np. konsumenci, odbiorcy przemysłowi) i na jak dużym obszarze dokonują sprzedaży węgla kamiennego. </w:t>
      </w:r>
    </w:p>
    <w:p w14:paraId="644BA08C" w14:textId="77777777" w:rsidR="000D6E9F" w:rsidRPr="00347FDD" w:rsidRDefault="000D6E9F" w:rsidP="00A13922">
      <w:pPr>
        <w:jc w:val="both"/>
        <w:rPr>
          <w:rFonts w:eastAsia="HG Mincho Light J"/>
        </w:rPr>
      </w:pPr>
    </w:p>
    <w:p w14:paraId="51A962AF" w14:textId="00037952" w:rsidR="00A13922" w:rsidRPr="005F79BE" w:rsidRDefault="00A13922" w:rsidP="005F79BE">
      <w:pPr>
        <w:numPr>
          <w:ilvl w:val="0"/>
          <w:numId w:val="12"/>
        </w:numPr>
        <w:spacing w:after="120"/>
        <w:ind w:left="714" w:hanging="357"/>
        <w:jc w:val="both"/>
        <w:rPr>
          <w:rFonts w:eastAsia="HG Mincho Light J"/>
          <w:b/>
          <w:bCs/>
        </w:rPr>
      </w:pPr>
      <w:r w:rsidRPr="00347FDD">
        <w:rPr>
          <w:rFonts w:eastAsia="HG Mincho Light J"/>
          <w:b/>
          <w:bCs/>
        </w:rPr>
        <w:t>Zbadania zasad dystrybucji paliw stałych</w:t>
      </w:r>
      <w:r w:rsidR="00A81A82">
        <w:rPr>
          <w:rFonts w:eastAsia="HG Mincho Light J"/>
          <w:b/>
          <w:bCs/>
        </w:rPr>
        <w:t xml:space="preserve"> – etap zasadniczy</w:t>
      </w:r>
      <w:r w:rsidRPr="00347FDD">
        <w:rPr>
          <w:rFonts w:eastAsia="HG Mincho Light J"/>
          <w:b/>
          <w:bCs/>
        </w:rPr>
        <w:t>.</w:t>
      </w:r>
    </w:p>
    <w:p w14:paraId="3C5D83DB" w14:textId="6A983E59" w:rsidR="00691420" w:rsidRDefault="00A13922" w:rsidP="00691420">
      <w:pPr>
        <w:jc w:val="both"/>
        <w:rPr>
          <w:rFonts w:eastAsia="HG Mincho Light J"/>
        </w:rPr>
      </w:pPr>
      <w:r w:rsidRPr="00347FDD">
        <w:rPr>
          <w:rFonts w:eastAsia="HG Mincho Light J"/>
        </w:rPr>
        <w:t xml:space="preserve">W powyższym zakresie przeprowadzono </w:t>
      </w:r>
      <w:r w:rsidRPr="00347FDD">
        <w:rPr>
          <w:rFonts w:eastAsia="HG Mincho Light J"/>
          <w:b/>
          <w:bCs/>
        </w:rPr>
        <w:t xml:space="preserve">162 kontrole, </w:t>
      </w:r>
      <w:r w:rsidRPr="00347FDD">
        <w:rPr>
          <w:rFonts w:eastAsia="HG Mincho Light J"/>
        </w:rPr>
        <w:t>które dotyczyły zbadania zasad dystrybucji paliw stałych, w tym dostępności węgla, ustalenia stanów magazynowych, zbadania cen oraz ustalenia struktury rynku</w:t>
      </w:r>
      <w:r w:rsidR="00A81A82">
        <w:rPr>
          <w:rFonts w:eastAsia="HG Mincho Light J"/>
        </w:rPr>
        <w:t xml:space="preserve"> - </w:t>
      </w:r>
      <w:r w:rsidR="00A81A82" w:rsidRPr="00A81A82">
        <w:rPr>
          <w:rFonts w:eastAsia="HG Mincho Light J"/>
          <w:b/>
        </w:rPr>
        <w:t>we wszystkich punktach sprzedaży paliw stałych na terenie województwa podlaskiego</w:t>
      </w:r>
      <w:r w:rsidRPr="00A81A82">
        <w:rPr>
          <w:rFonts w:eastAsia="HG Mincho Light J"/>
          <w:b/>
        </w:rPr>
        <w:t>.</w:t>
      </w:r>
      <w:r w:rsidR="00A81A82">
        <w:rPr>
          <w:rFonts w:eastAsia="HG Mincho Light J"/>
          <w:b/>
        </w:rPr>
        <w:t xml:space="preserve"> </w:t>
      </w:r>
      <w:r w:rsidR="00A81A82">
        <w:rPr>
          <w:rFonts w:eastAsia="HG Mincho Light J"/>
        </w:rPr>
        <w:t>Kontrole odbywały się w okresie 14-23 listopada 2022 roku.</w:t>
      </w:r>
      <w:r w:rsidRPr="00347FDD">
        <w:rPr>
          <w:rFonts w:eastAsia="HG Mincho Light J"/>
        </w:rPr>
        <w:t xml:space="preserve"> W trakcie ich trwania  przedsiębiorcom pozostawiono do wypełnienia dwa załączniki dotyczące dystrybucji węgla. W  pierwszym załączniku przedsiębiorcy zamieścili między innymi informacje dotyczące działalności ich firmy w zakresie sprzedaży węgla kamiennego tj. liczbę i adresy składów węglowych, przychody ze sprzedaży paliw stałych jak i ogólne przychody dotyczące działalności całej firmy, wolumen sprzedaży węgla kamiennego oraz największego dostawcę węgla kamiennego. Drugi z załączników przedsiębiorcy dostarczali do WIIH w Białymstoku regularnie w każdy poniedziałek począwszy od 21 listopada do 19 grudnia 2022 r. W załączniku należało wskazać rodzaj posiadanego węgla kamiennego, jego cenę sprzedaży dla każdego dnia tygodnia (poniedziałek – sobota) oraz stan magazynowy na koniec piątku. Wszystkie dane otrzymane od przed</w:t>
      </w:r>
      <w:r w:rsidR="00A81A82">
        <w:rPr>
          <w:rFonts w:eastAsia="HG Mincho Light J"/>
        </w:rPr>
        <w:t>siębiorców przekazano do UOKiK – w celu przeprowadzenia analiz m in. w zakresie występowania przypadków zmowy cenowej między przedsiębiorcami.</w:t>
      </w:r>
      <w:r w:rsidR="00691420" w:rsidRPr="00691420">
        <w:rPr>
          <w:rFonts w:eastAsia="HG Mincho Light J"/>
        </w:rPr>
        <w:t xml:space="preserve"> </w:t>
      </w:r>
      <w:r w:rsidR="00691420" w:rsidRPr="00347FDD">
        <w:rPr>
          <w:rFonts w:eastAsia="HG Mincho Light J"/>
        </w:rPr>
        <w:t>Dane z otrzymanych załączników przekazano do UOKiK.</w:t>
      </w:r>
      <w:r w:rsidR="00691420">
        <w:rPr>
          <w:rFonts w:eastAsia="HG Mincho Light J"/>
        </w:rPr>
        <w:t xml:space="preserve"> Kontrole zostały przeprowadzone znacznym nakładem zasobów kadrowych i finansowych WIIH.</w:t>
      </w:r>
    </w:p>
    <w:p w14:paraId="100DDAF3" w14:textId="77777777" w:rsidR="00A13922" w:rsidRPr="00347FDD" w:rsidRDefault="00A13922" w:rsidP="00A13922">
      <w:pPr>
        <w:jc w:val="both"/>
        <w:rPr>
          <w:rFonts w:eastAsia="HG Mincho Light J"/>
        </w:rPr>
      </w:pPr>
    </w:p>
    <w:p w14:paraId="40389B43" w14:textId="54A0F61E" w:rsidR="00A13922" w:rsidRPr="005F79BE" w:rsidRDefault="00A13922" w:rsidP="005F79BE">
      <w:pPr>
        <w:numPr>
          <w:ilvl w:val="0"/>
          <w:numId w:val="12"/>
        </w:numPr>
        <w:spacing w:after="120"/>
        <w:ind w:left="714" w:hanging="357"/>
        <w:jc w:val="both"/>
        <w:rPr>
          <w:rFonts w:eastAsia="HG Mincho Light J"/>
        </w:rPr>
      </w:pPr>
      <w:r w:rsidRPr="00347FDD">
        <w:rPr>
          <w:rFonts w:eastAsia="HG Mincho Light J"/>
          <w:b/>
          <w:bCs/>
        </w:rPr>
        <w:t>Kontroli legalności i rzetelności przedsiębiorców prowadzących sprzedaż węgla.</w:t>
      </w:r>
    </w:p>
    <w:p w14:paraId="56A92757" w14:textId="322420A1" w:rsidR="00A13922" w:rsidRPr="00347FDD" w:rsidRDefault="00A13922" w:rsidP="00CB6FBB">
      <w:pPr>
        <w:spacing w:after="120"/>
        <w:jc w:val="both"/>
        <w:rPr>
          <w:rFonts w:eastAsia="HG Mincho Light J"/>
        </w:rPr>
      </w:pPr>
      <w:r w:rsidRPr="00347FDD">
        <w:rPr>
          <w:rFonts w:eastAsia="HG Mincho Light J"/>
        </w:rPr>
        <w:t xml:space="preserve">W powyższym zakresie przeprowadzono </w:t>
      </w:r>
      <w:r w:rsidRPr="00347FDD">
        <w:rPr>
          <w:rFonts w:eastAsia="HG Mincho Light J"/>
          <w:b/>
          <w:bCs/>
        </w:rPr>
        <w:t>162 kontrole</w:t>
      </w:r>
      <w:r w:rsidRPr="00347FDD">
        <w:rPr>
          <w:rFonts w:eastAsia="HG Mincho Light J"/>
        </w:rPr>
        <w:t xml:space="preserve"> u </w:t>
      </w:r>
      <w:r w:rsidRPr="00347FDD">
        <w:rPr>
          <w:rFonts w:eastAsia="HG Mincho Light J"/>
          <w:b/>
          <w:bCs/>
        </w:rPr>
        <w:t xml:space="preserve">140 przedsiębiorców </w:t>
      </w:r>
      <w:r w:rsidRPr="00347FDD">
        <w:rPr>
          <w:rFonts w:eastAsia="HG Mincho Light J"/>
          <w:bCs/>
        </w:rPr>
        <w:t>(kontrolą objęto każde miejsce wykonywania działalności gospodarczej przez przedsiębiorcę)</w:t>
      </w:r>
      <w:r w:rsidR="00A81A82">
        <w:rPr>
          <w:rFonts w:eastAsia="HG Mincho Light J"/>
          <w:bCs/>
        </w:rPr>
        <w:t xml:space="preserve"> -</w:t>
      </w:r>
      <w:r w:rsidR="00A81A82">
        <w:rPr>
          <w:rFonts w:eastAsia="HG Mincho Light J"/>
        </w:rPr>
        <w:t xml:space="preserve"> </w:t>
      </w:r>
      <w:r w:rsidR="00A81A82" w:rsidRPr="00A81A82">
        <w:rPr>
          <w:rFonts w:eastAsia="HG Mincho Light J"/>
          <w:b/>
        </w:rPr>
        <w:t>we wszystkich punktach sprzedaży paliw stałych na terenie województwa podlaskiego.</w:t>
      </w:r>
    </w:p>
    <w:p w14:paraId="325711D1" w14:textId="77777777" w:rsidR="00A13922" w:rsidRPr="00347FDD" w:rsidRDefault="00A13922" w:rsidP="00A13922">
      <w:pPr>
        <w:jc w:val="both"/>
        <w:rPr>
          <w:rFonts w:eastAsia="HG Mincho Light J"/>
          <w:b/>
          <w:bCs/>
        </w:rPr>
      </w:pPr>
      <w:r w:rsidRPr="00347FDD">
        <w:rPr>
          <w:rFonts w:eastAsia="HG Mincho Light J"/>
        </w:rPr>
        <w:lastRenderedPageBreak/>
        <w:t xml:space="preserve">W trakcie ich trwania dokonano sprawdzenia: </w:t>
      </w:r>
    </w:p>
    <w:p w14:paraId="51535744" w14:textId="77777777" w:rsidR="00A13922" w:rsidRPr="00347FDD" w:rsidRDefault="00A13922" w:rsidP="00A13922">
      <w:pPr>
        <w:numPr>
          <w:ilvl w:val="0"/>
          <w:numId w:val="12"/>
        </w:numPr>
        <w:jc w:val="both"/>
        <w:rPr>
          <w:rFonts w:eastAsia="HG Mincho Light J"/>
        </w:rPr>
      </w:pPr>
      <w:r w:rsidRPr="00347FDD">
        <w:rPr>
          <w:rFonts w:eastAsia="HG Mincho Light J"/>
        </w:rPr>
        <w:t xml:space="preserve">przestrzegania przez przedsiębiorców dokonujących obrotu węglem obowiązków wynikających z art. 13 ustawy z dnia 13 kwietnia 2022 r. o szczególnych rozwiązaniach w zakresie przeciwdziałania wspieraniu agresji na Ukrainę oraz służących ochronie bezpieczeństwa narodowego (sprawdzono czy przedsiębiorcy wystawiają przekazują i przechowują oświadczenia dotyczące kraju pochodzenia węgla), </w:t>
      </w:r>
    </w:p>
    <w:p w14:paraId="0547AB77" w14:textId="77777777" w:rsidR="00A13922" w:rsidRPr="00347FDD" w:rsidRDefault="00A13922" w:rsidP="00A13922">
      <w:pPr>
        <w:numPr>
          <w:ilvl w:val="0"/>
          <w:numId w:val="12"/>
        </w:numPr>
        <w:jc w:val="both"/>
        <w:rPr>
          <w:rFonts w:eastAsia="HG Mincho Light J"/>
        </w:rPr>
      </w:pPr>
      <w:r w:rsidRPr="00347FDD">
        <w:rPr>
          <w:rFonts w:eastAsia="HG Mincho Light J"/>
        </w:rPr>
        <w:t xml:space="preserve">przestrzegania przepisów ustawy z dnia 9 maja 2014r. o informowaniu o cenach towarów i usług, </w:t>
      </w:r>
    </w:p>
    <w:p w14:paraId="2989ACF4" w14:textId="77777777" w:rsidR="00A13922" w:rsidRPr="00347FDD" w:rsidRDefault="00A13922" w:rsidP="00A13922">
      <w:pPr>
        <w:numPr>
          <w:ilvl w:val="0"/>
          <w:numId w:val="12"/>
        </w:numPr>
        <w:jc w:val="both"/>
        <w:rPr>
          <w:rFonts w:eastAsia="HG Mincho Light J"/>
        </w:rPr>
      </w:pPr>
      <w:r w:rsidRPr="00347FDD">
        <w:rPr>
          <w:rFonts w:eastAsia="HG Mincho Light J"/>
        </w:rPr>
        <w:t xml:space="preserve">przestrzegania przez przedsiębiorców obowiązków wynikających z art. 55 ust. 3 pkt 1 ustawy z dnia 15 września 2022r. o szczególnych rozwiązaniach w zakresie niektórych źródeł ciepła w związku z sytuacją na rynku paliw oraz legalności prowadzonej działalności gospodarczej (sprawdzano czy przedsiębiorcy prowadzący sprzedaż węgla kamiennego utworzyli konto oraz na bieżąco aktualizują dane dotyczące sortymentu oraz cen węgla kamiennego posiadanego na stanie magazynowym w systemie teleinformatycznym cieplo.gov.pl),  </w:t>
      </w:r>
    </w:p>
    <w:p w14:paraId="21BCD360" w14:textId="77777777" w:rsidR="00A13922" w:rsidRPr="00347FDD" w:rsidRDefault="00A13922" w:rsidP="00A13922">
      <w:pPr>
        <w:numPr>
          <w:ilvl w:val="0"/>
          <w:numId w:val="12"/>
        </w:numPr>
        <w:jc w:val="both"/>
        <w:rPr>
          <w:rFonts w:eastAsia="HG Mincho Light J"/>
        </w:rPr>
      </w:pPr>
      <w:r w:rsidRPr="00347FDD">
        <w:rPr>
          <w:rFonts w:eastAsia="HG Mincho Light J"/>
        </w:rPr>
        <w:t>identyfikacji kontrolowanych przedsiębiorców w oparciu o wpis do Krajowego Rejestru Sądowego lub ewidencji działalności gospodarczej oraz sprawdzono, czy zakres i rodzaj prowadzonej przez przedsiębiorcę działalności jest zgodny z informacjami wpisanymi do rejestru/ewidencji.</w:t>
      </w:r>
    </w:p>
    <w:p w14:paraId="6405CF55" w14:textId="0E9CCAF3" w:rsidR="00A13922" w:rsidRDefault="00A13922" w:rsidP="00A13922">
      <w:pPr>
        <w:jc w:val="both"/>
        <w:rPr>
          <w:rFonts w:eastAsia="HG Mincho Light J"/>
        </w:rPr>
      </w:pPr>
      <w:r w:rsidRPr="00347FDD">
        <w:rPr>
          <w:rFonts w:eastAsia="HG Mincho Light J"/>
        </w:rPr>
        <w:t xml:space="preserve">      </w:t>
      </w:r>
    </w:p>
    <w:p w14:paraId="4DEFD854" w14:textId="6213E4B3" w:rsidR="00A13922" w:rsidRPr="00347FDD" w:rsidRDefault="00FE38C1" w:rsidP="00CB6FBB">
      <w:pPr>
        <w:jc w:val="both"/>
        <w:rPr>
          <w:rFonts w:eastAsia="HG Mincho Light J"/>
        </w:rPr>
      </w:pPr>
      <w:r>
        <w:rPr>
          <w:rFonts w:eastAsia="HG Mincho Light J"/>
        </w:rPr>
        <w:t>W jednym</w:t>
      </w:r>
      <w:r w:rsidR="00A13922" w:rsidRPr="00347FDD">
        <w:rPr>
          <w:rFonts w:eastAsia="HG Mincho Light J"/>
        </w:rPr>
        <w:t xml:space="preserve"> przypadku nieprawidłowości dotyczyły uwidaczniania cen paliw stałych, a w 19 przypadkach wprowadzenia i aktualizowania danych w systemie cieplo.gov.pl. W 14 przypadkach nieprawidłowości dotyczyły nie dopełnienia obowiązków w zakresie uaktualnienia wpisów do CEIDG lub KRS. W związku z tym wystawiono </w:t>
      </w:r>
      <w:r w:rsidR="00A13922" w:rsidRPr="00347FDD">
        <w:rPr>
          <w:rFonts w:eastAsia="HG Mincho Light J"/>
          <w:b/>
          <w:bCs/>
        </w:rPr>
        <w:t>11</w:t>
      </w:r>
      <w:r w:rsidR="00A13922" w:rsidRPr="00347FDD">
        <w:rPr>
          <w:rFonts w:eastAsia="HG Mincho Light J"/>
        </w:rPr>
        <w:t xml:space="preserve"> mandatów o łącznej kwocie </w:t>
      </w:r>
      <w:r w:rsidR="00A13922" w:rsidRPr="00347FDD">
        <w:rPr>
          <w:rFonts w:eastAsia="HG Mincho Light J"/>
          <w:b/>
          <w:bCs/>
        </w:rPr>
        <w:t xml:space="preserve">1200 zł </w:t>
      </w:r>
      <w:r w:rsidR="00A13922" w:rsidRPr="00347FDD">
        <w:rPr>
          <w:rFonts w:eastAsia="HG Mincho Light J"/>
        </w:rPr>
        <w:t>oraz skierowano 20 zawiadomień do naczelnika urzędu celno-skarbowego</w:t>
      </w:r>
      <w:r>
        <w:rPr>
          <w:rFonts w:eastAsia="HG Mincho Light J"/>
        </w:rPr>
        <w:t xml:space="preserve"> w zakresie rozbieżności stanu faktycznego z zarejestrowanym w systemie cieplo.gov.pl</w:t>
      </w:r>
      <w:r w:rsidR="00A13922" w:rsidRPr="00347FDD">
        <w:rPr>
          <w:rFonts w:eastAsia="HG Mincho Light J"/>
        </w:rPr>
        <w:t>.</w:t>
      </w:r>
      <w:r w:rsidR="00691420">
        <w:rPr>
          <w:rFonts w:eastAsia="HG Mincho Light J"/>
        </w:rPr>
        <w:t xml:space="preserve"> </w:t>
      </w:r>
    </w:p>
    <w:p w14:paraId="71E5B7A0" w14:textId="77777777" w:rsidR="000D6E9F" w:rsidRPr="00A13922" w:rsidRDefault="000D6E9F" w:rsidP="00A13922">
      <w:pPr>
        <w:pStyle w:val="Akapitzlist"/>
        <w:widowControl w:val="0"/>
        <w:spacing w:after="0" w:line="240" w:lineRule="auto"/>
        <w:ind w:left="0"/>
        <w:jc w:val="both"/>
        <w:rPr>
          <w:rFonts w:ascii="Times New Roman" w:eastAsia="Times New Roman" w:hAnsi="Times New Roman"/>
          <w:sz w:val="24"/>
          <w:szCs w:val="24"/>
        </w:rPr>
      </w:pPr>
    </w:p>
    <w:p w14:paraId="53CC4F81" w14:textId="61513474" w:rsidR="0051208F" w:rsidRPr="000D6E9F" w:rsidRDefault="00A0065F" w:rsidP="00F377D9">
      <w:pPr>
        <w:jc w:val="both"/>
        <w:rPr>
          <w:b/>
          <w:bCs/>
        </w:rPr>
      </w:pPr>
      <w:r w:rsidRPr="000D6E9F">
        <w:rPr>
          <w:b/>
          <w:bCs/>
        </w:rPr>
        <w:t xml:space="preserve">9) </w:t>
      </w:r>
      <w:r w:rsidR="0051208F" w:rsidRPr="000D6E9F">
        <w:rPr>
          <w:b/>
          <w:bCs/>
        </w:rPr>
        <w:t>Badania laboratoryjne</w:t>
      </w:r>
    </w:p>
    <w:p w14:paraId="137F7F92" w14:textId="4D425D55" w:rsidR="000534E6" w:rsidRPr="001C5531" w:rsidRDefault="000534E6" w:rsidP="00F377D9">
      <w:pPr>
        <w:jc w:val="both"/>
        <w:rPr>
          <w:b/>
          <w:bCs/>
        </w:rPr>
      </w:pPr>
    </w:p>
    <w:p w14:paraId="0122A763" w14:textId="6A9E01E7" w:rsidR="0050639F" w:rsidRPr="001C5531" w:rsidRDefault="009F3027" w:rsidP="00A100B3">
      <w:pPr>
        <w:spacing w:after="120"/>
        <w:jc w:val="both"/>
        <w:rPr>
          <w:noProof/>
        </w:rPr>
      </w:pPr>
      <w:bookmarkStart w:id="4" w:name="_Hlk95730579"/>
      <w:r w:rsidRPr="001C5531">
        <w:t>W 202</w:t>
      </w:r>
      <w:r w:rsidR="00C54E01" w:rsidRPr="001C5531">
        <w:t>2</w:t>
      </w:r>
      <w:r w:rsidRPr="001C5531">
        <w:t xml:space="preserve"> r. do badań laboratoryjnych przekazano ogółem </w:t>
      </w:r>
      <w:r w:rsidR="001C5531" w:rsidRPr="001C5531">
        <w:rPr>
          <w:b/>
        </w:rPr>
        <w:t xml:space="preserve">68 </w:t>
      </w:r>
      <w:r w:rsidRPr="001C5531">
        <w:rPr>
          <w:b/>
        </w:rPr>
        <w:t>prób</w:t>
      </w:r>
      <w:r w:rsidR="001C5531" w:rsidRPr="001C5531">
        <w:rPr>
          <w:b/>
        </w:rPr>
        <w:t xml:space="preserve">ek </w:t>
      </w:r>
      <w:r w:rsidRPr="001C5531">
        <w:rPr>
          <w:b/>
        </w:rPr>
        <w:t>produktów</w:t>
      </w:r>
      <w:r w:rsidR="001C5531" w:rsidRPr="001C5531">
        <w:t xml:space="preserve"> (poza próbkami paliw). </w:t>
      </w:r>
      <w:r w:rsidRPr="001C5531">
        <w:t>W wyniku przeprowadzonych badań laboratoryjnych zakwestionowano</w:t>
      </w:r>
      <w:r w:rsidRPr="001C5531">
        <w:rPr>
          <w:b/>
          <w:bCs/>
        </w:rPr>
        <w:t xml:space="preserve"> </w:t>
      </w:r>
      <w:r w:rsidR="00C54E01" w:rsidRPr="001C5531">
        <w:rPr>
          <w:b/>
          <w:bCs/>
        </w:rPr>
        <w:t>2</w:t>
      </w:r>
      <w:r w:rsidR="001C5531" w:rsidRPr="001C5531">
        <w:rPr>
          <w:b/>
          <w:bCs/>
        </w:rPr>
        <w:t>1</w:t>
      </w:r>
      <w:r w:rsidR="001C5531" w:rsidRPr="001C5531">
        <w:t xml:space="preserve"> </w:t>
      </w:r>
      <w:r w:rsidRPr="001C5531">
        <w:t>produktów</w:t>
      </w:r>
      <w:r w:rsidR="00C54E01" w:rsidRPr="001C5531">
        <w:t>.</w:t>
      </w:r>
      <w:r w:rsidR="00EE0625">
        <w:t xml:space="preserve"> W 2021 r. zbadano 62 próbki, zakwestionowano -19.</w:t>
      </w:r>
    </w:p>
    <w:p w14:paraId="42BB7E59" w14:textId="14795617" w:rsidR="0050639F" w:rsidRPr="00856DF7" w:rsidRDefault="0050639F" w:rsidP="00A100B3">
      <w:pPr>
        <w:spacing w:after="120"/>
        <w:jc w:val="both"/>
      </w:pPr>
      <w:r w:rsidRPr="00856DF7">
        <w:t xml:space="preserve">Wartość środków przeznaczonych na badania laboratoryjne wyniosła </w:t>
      </w:r>
      <w:r w:rsidR="00363D01">
        <w:rPr>
          <w:b/>
        </w:rPr>
        <w:t>44566,59</w:t>
      </w:r>
      <w:r w:rsidRPr="004E3CF4">
        <w:rPr>
          <w:b/>
        </w:rPr>
        <w:t xml:space="preserve"> zł</w:t>
      </w:r>
      <w:r w:rsidRPr="00856DF7">
        <w:t xml:space="preserve"> </w:t>
      </w:r>
      <w:r w:rsidR="00363D01">
        <w:t>.</w:t>
      </w:r>
    </w:p>
    <w:p w14:paraId="131BEB9F" w14:textId="266AA0CE" w:rsidR="0050639F" w:rsidRDefault="0050639F" w:rsidP="00A100B3">
      <w:pPr>
        <w:spacing w:after="120"/>
        <w:jc w:val="both"/>
      </w:pPr>
      <w:r w:rsidRPr="00856DF7">
        <w:t>Dla porównania – w roku 202</w:t>
      </w:r>
      <w:r w:rsidR="00363D01">
        <w:t>1</w:t>
      </w:r>
      <w:r w:rsidRPr="00856DF7">
        <w:t xml:space="preserve"> na badania laboratoryjne przeznaczono </w:t>
      </w:r>
      <w:r w:rsidR="00363D01">
        <w:t>33529,66</w:t>
      </w:r>
      <w:r w:rsidRPr="00856DF7">
        <w:t xml:space="preserve"> zł</w:t>
      </w:r>
      <w:r w:rsidR="00363D01">
        <w:t>.</w:t>
      </w:r>
    </w:p>
    <w:p w14:paraId="173CAFA8" w14:textId="7E0C9945" w:rsidR="00CE0E88" w:rsidRPr="008646D6" w:rsidRDefault="0088502A" w:rsidP="00A100B3">
      <w:pPr>
        <w:spacing w:after="120"/>
        <w:jc w:val="both"/>
        <w:rPr>
          <w:color w:val="FF0000"/>
        </w:rPr>
      </w:pPr>
      <w:r w:rsidRPr="00856DF7">
        <w:rPr>
          <w:noProof/>
        </w:rPr>
        <w:drawing>
          <wp:anchor distT="0" distB="0" distL="114300" distR="114300" simplePos="0" relativeHeight="251660800" behindDoc="0" locked="0" layoutInCell="1" allowOverlap="1" wp14:anchorId="46ADE29A" wp14:editId="701C0600">
            <wp:simplePos x="0" y="0"/>
            <wp:positionH relativeFrom="column">
              <wp:posOffset>13970</wp:posOffset>
            </wp:positionH>
            <wp:positionV relativeFrom="paragraph">
              <wp:posOffset>132715</wp:posOffset>
            </wp:positionV>
            <wp:extent cx="2867025" cy="2447925"/>
            <wp:effectExtent l="57150" t="38100" r="47625" b="47625"/>
            <wp:wrapSquare wrapText="bothSides"/>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noProof/>
        </w:rPr>
        <w:drawing>
          <wp:inline distT="0" distB="0" distL="0" distR="0" wp14:anchorId="60545192" wp14:editId="31E1C616">
            <wp:extent cx="2714625" cy="2581275"/>
            <wp:effectExtent l="0" t="0" r="9525"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BCBEE1" w14:textId="37E3699C" w:rsidR="00E80632" w:rsidRDefault="00377C9C" w:rsidP="006D6890">
      <w:pPr>
        <w:jc w:val="both"/>
        <w:rPr>
          <w:b/>
          <w:color w:val="323E4F" w:themeColor="text2" w:themeShade="BF"/>
        </w:rPr>
      </w:pPr>
      <w:r>
        <w:lastRenderedPageBreak/>
        <w:br w:type="textWrapping" w:clear="all"/>
      </w:r>
      <w:bookmarkEnd w:id="4"/>
      <w:r w:rsidR="00A0065F">
        <w:rPr>
          <w:b/>
          <w:color w:val="323E4F" w:themeColor="text2" w:themeShade="BF"/>
        </w:rPr>
        <w:t xml:space="preserve">10) </w:t>
      </w:r>
      <w:r w:rsidR="00E80632" w:rsidRPr="00856DF7">
        <w:rPr>
          <w:b/>
          <w:color w:val="323E4F" w:themeColor="text2" w:themeShade="BF"/>
        </w:rPr>
        <w:t xml:space="preserve">Ochrona konsumenta </w:t>
      </w:r>
      <w:r w:rsidR="000C3BB2">
        <w:rPr>
          <w:b/>
          <w:color w:val="323E4F" w:themeColor="text2" w:themeShade="BF"/>
        </w:rPr>
        <w:t>jako strony umów cywilno-</w:t>
      </w:r>
      <w:r w:rsidR="00E23728">
        <w:rPr>
          <w:b/>
          <w:color w:val="323E4F" w:themeColor="text2" w:themeShade="BF"/>
        </w:rPr>
        <w:t>p</w:t>
      </w:r>
      <w:r w:rsidR="000C3BB2">
        <w:rPr>
          <w:b/>
          <w:color w:val="323E4F" w:themeColor="text2" w:themeShade="BF"/>
        </w:rPr>
        <w:t>rawnych</w:t>
      </w:r>
    </w:p>
    <w:p w14:paraId="24709A94" w14:textId="11B6C796" w:rsidR="00CE0E88" w:rsidRDefault="00CE0E88" w:rsidP="00F377D9">
      <w:pPr>
        <w:pStyle w:val="Tekstpodstawowy"/>
        <w:rPr>
          <w:b/>
          <w:color w:val="323E4F" w:themeColor="text2" w:themeShade="BF"/>
        </w:rPr>
      </w:pPr>
    </w:p>
    <w:p w14:paraId="020235F1" w14:textId="641AA032" w:rsidR="000D6E9F" w:rsidRPr="00622D82" w:rsidRDefault="000D6E9F" w:rsidP="00F377D9">
      <w:pPr>
        <w:pStyle w:val="Tekstpodstawowy"/>
        <w:rPr>
          <w:b/>
          <w:color w:val="323E4F" w:themeColor="text2" w:themeShade="BF"/>
          <w14:textOutline w14:w="9525" w14:cap="rnd" w14:cmpd="sng" w14:algn="ctr">
            <w14:solidFill>
              <w14:schemeClr w14:val="tx1"/>
            </w14:solidFill>
            <w14:prstDash w14:val="solid"/>
            <w14:bevel/>
          </w14:textOutline>
        </w:rPr>
      </w:pPr>
    </w:p>
    <w:p w14:paraId="06E5509D" w14:textId="125ED716" w:rsidR="00E80632" w:rsidRPr="000534E6" w:rsidRDefault="00E80632" w:rsidP="00F377D9">
      <w:pPr>
        <w:pStyle w:val="Akapitzlist"/>
        <w:numPr>
          <w:ilvl w:val="0"/>
          <w:numId w:val="23"/>
        </w:numPr>
        <w:spacing w:after="0" w:line="240" w:lineRule="auto"/>
        <w:ind w:left="426" w:hanging="426"/>
        <w:jc w:val="both"/>
        <w:rPr>
          <w:rFonts w:ascii="Times New Roman" w:hAnsi="Times New Roman"/>
          <w:b/>
          <w:sz w:val="24"/>
          <w:szCs w:val="24"/>
        </w:rPr>
      </w:pPr>
      <w:r w:rsidRPr="00A0065F">
        <w:rPr>
          <w:rFonts w:ascii="Times New Roman" w:hAnsi="Times New Roman"/>
          <w:b/>
          <w:bCs/>
          <w:sz w:val="24"/>
          <w:szCs w:val="24"/>
        </w:rPr>
        <w:t>Pozasądowe rozwiązywanie sporów konsumenckich</w:t>
      </w:r>
    </w:p>
    <w:p w14:paraId="6455733E" w14:textId="31D1114E" w:rsidR="000534E6" w:rsidRPr="00A0065F" w:rsidRDefault="000534E6" w:rsidP="000534E6">
      <w:pPr>
        <w:pStyle w:val="Akapitzlist"/>
        <w:spacing w:after="0" w:line="240" w:lineRule="auto"/>
        <w:ind w:left="426"/>
        <w:jc w:val="both"/>
        <w:rPr>
          <w:rFonts w:ascii="Times New Roman" w:hAnsi="Times New Roman"/>
          <w:b/>
          <w:sz w:val="24"/>
          <w:szCs w:val="24"/>
        </w:rPr>
      </w:pPr>
    </w:p>
    <w:p w14:paraId="5D02F0CE" w14:textId="3C91A5F1" w:rsidR="0009724A" w:rsidRDefault="0088502A" w:rsidP="000D6E9F">
      <w:pPr>
        <w:spacing w:after="120"/>
        <w:ind w:firstLine="426"/>
        <w:jc w:val="both"/>
        <w:rPr>
          <w:b/>
          <w:noProof/>
        </w:rPr>
      </w:pPr>
      <w:r w:rsidRPr="00856DF7">
        <w:rPr>
          <w:b/>
          <w:noProof/>
        </w:rPr>
        <w:drawing>
          <wp:anchor distT="0" distB="0" distL="114300" distR="114300" simplePos="0" relativeHeight="251667968" behindDoc="1" locked="0" layoutInCell="1" allowOverlap="1" wp14:anchorId="3F4D33D3" wp14:editId="3225555D">
            <wp:simplePos x="0" y="0"/>
            <wp:positionH relativeFrom="margin">
              <wp:posOffset>3843020</wp:posOffset>
            </wp:positionH>
            <wp:positionV relativeFrom="margin">
              <wp:posOffset>1118870</wp:posOffset>
            </wp:positionV>
            <wp:extent cx="2172335" cy="2105025"/>
            <wp:effectExtent l="0" t="0" r="18415" b="9525"/>
            <wp:wrapTight wrapText="bothSides">
              <wp:wrapPolygon edited="0">
                <wp:start x="0" y="0"/>
                <wp:lineTo x="0" y="21502"/>
                <wp:lineTo x="21594" y="21502"/>
                <wp:lineTo x="21594" y="0"/>
                <wp:lineTo x="0" y="0"/>
              </wp:wrapPolygon>
            </wp:wrapTight>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5D7286" w:rsidRPr="00856DF7">
        <w:t>W 20</w:t>
      </w:r>
      <w:r w:rsidR="006B497B">
        <w:t>22</w:t>
      </w:r>
      <w:r w:rsidR="005D7286" w:rsidRPr="00856DF7">
        <w:t xml:space="preserve"> </w:t>
      </w:r>
      <w:r w:rsidR="009A5BAF" w:rsidRPr="00856DF7">
        <w:t xml:space="preserve">r. </w:t>
      </w:r>
      <w:r w:rsidR="00091A98" w:rsidRPr="00856DF7">
        <w:t xml:space="preserve">wpłynęły </w:t>
      </w:r>
      <w:r w:rsidR="006B497B">
        <w:t>199</w:t>
      </w:r>
      <w:r w:rsidR="00091A98" w:rsidRPr="00856DF7">
        <w:t xml:space="preserve"> wnioski o przeprowadzenie postępowania </w:t>
      </w:r>
      <w:r w:rsidR="005D7286" w:rsidRPr="00856DF7">
        <w:t>w sprawach pozasądowego rozwiązywania sporów konsumenckich</w:t>
      </w:r>
      <w:r w:rsidR="00091A98" w:rsidRPr="00856DF7">
        <w:t xml:space="preserve">. </w:t>
      </w:r>
      <w:r w:rsidR="0009724A" w:rsidRPr="00856DF7">
        <w:t xml:space="preserve">W wyniku przeprowadzonych postępowań – </w:t>
      </w:r>
      <w:r w:rsidR="006B497B">
        <w:t>98</w:t>
      </w:r>
      <w:r w:rsidR="0009724A" w:rsidRPr="00856DF7">
        <w:t xml:space="preserve"> spraw zakończono pozytywnie dla konsumenta</w:t>
      </w:r>
      <w:r w:rsidR="00EB09EC">
        <w:t xml:space="preserve"> (49,2%). </w:t>
      </w:r>
    </w:p>
    <w:p w14:paraId="7F5A5ACB" w14:textId="7D46B2E2" w:rsidR="000D6E9F" w:rsidRPr="00856DF7" w:rsidRDefault="000D6E9F" w:rsidP="000D6E9F">
      <w:pPr>
        <w:spacing w:after="120"/>
        <w:ind w:firstLine="426"/>
        <w:jc w:val="both"/>
      </w:pPr>
    </w:p>
    <w:p w14:paraId="6AFB6816" w14:textId="4E44562B" w:rsidR="00C53234" w:rsidRPr="00856DF7" w:rsidRDefault="00091A98" w:rsidP="000D6E9F">
      <w:pPr>
        <w:spacing w:after="120"/>
        <w:ind w:firstLine="426"/>
        <w:jc w:val="both"/>
      </w:pPr>
      <w:r w:rsidRPr="00856DF7">
        <w:t>Wnioski dotyczyły głównie:</w:t>
      </w:r>
      <w:r w:rsidR="00F1617B" w:rsidRPr="00856DF7">
        <w:t xml:space="preserve"> </w:t>
      </w:r>
      <w:r w:rsidRPr="00856DF7">
        <w:t>problemów z realizacją ustawowego prawa odstąpienia od</w:t>
      </w:r>
      <w:r w:rsidR="00F1617B" w:rsidRPr="00856DF7">
        <w:t xml:space="preserve"> </w:t>
      </w:r>
      <w:r w:rsidRPr="00856DF7">
        <w:t>umowy</w:t>
      </w:r>
      <w:bookmarkStart w:id="5" w:name="_Hlk94609701"/>
      <w:r w:rsidR="00191131" w:rsidRPr="00856DF7">
        <w:t xml:space="preserve">, </w:t>
      </w:r>
      <w:r w:rsidRPr="00856DF7">
        <w:t>niewłaściw</w:t>
      </w:r>
      <w:r w:rsidR="00F1617B" w:rsidRPr="00856DF7">
        <w:t>ej</w:t>
      </w:r>
      <w:r w:rsidR="00191131" w:rsidRPr="00856DF7">
        <w:t xml:space="preserve"> </w:t>
      </w:r>
      <w:r w:rsidRPr="00856DF7">
        <w:t>jakoś</w:t>
      </w:r>
      <w:r w:rsidR="00F1617B" w:rsidRPr="00856DF7">
        <w:t>ci</w:t>
      </w:r>
      <w:r w:rsidRPr="00856DF7">
        <w:t xml:space="preserve"> produktó</w:t>
      </w:r>
      <w:r w:rsidR="00F1617B" w:rsidRPr="00856DF7">
        <w:t>w</w:t>
      </w:r>
      <w:r w:rsidR="00191131" w:rsidRPr="00856DF7">
        <w:t xml:space="preserve">, </w:t>
      </w:r>
      <w:r w:rsidRPr="00856DF7">
        <w:t>um</w:t>
      </w:r>
      <w:r w:rsidR="00F1617B" w:rsidRPr="00856DF7">
        <w:t>ów</w:t>
      </w:r>
      <w:r w:rsidRPr="00856DF7">
        <w:t xml:space="preserve"> zawart</w:t>
      </w:r>
      <w:r w:rsidR="00F1617B" w:rsidRPr="00856DF7">
        <w:t>ych</w:t>
      </w:r>
      <w:r w:rsidRPr="00856DF7">
        <w:t xml:space="preserve"> pod wpływem błędu podstępnie wywołanego przez druga stronę</w:t>
      </w:r>
      <w:r w:rsidR="00F1617B" w:rsidRPr="00856DF7">
        <w:t>, nienależytego wykonania zobowiązań</w:t>
      </w:r>
      <w:bookmarkEnd w:id="5"/>
      <w:r w:rsidRPr="00856DF7">
        <w:t xml:space="preserve"> </w:t>
      </w:r>
    </w:p>
    <w:p w14:paraId="4D4F259C" w14:textId="18E408D7" w:rsidR="005D7286" w:rsidRPr="00856DF7" w:rsidRDefault="005D7286" w:rsidP="006D7DEE">
      <w:pPr>
        <w:spacing w:after="120"/>
        <w:jc w:val="both"/>
      </w:pPr>
      <w:r w:rsidRPr="00856DF7">
        <w:t xml:space="preserve">Ponadto udzielono </w:t>
      </w:r>
      <w:r w:rsidR="006B497B">
        <w:t>5755</w:t>
      </w:r>
      <w:r w:rsidRPr="00856DF7">
        <w:t xml:space="preserve"> porad, w tym: </w:t>
      </w:r>
      <w:r w:rsidR="00F1617B" w:rsidRPr="00856DF7">
        <w:t>5</w:t>
      </w:r>
      <w:r w:rsidR="006B497B">
        <w:t>035</w:t>
      </w:r>
      <w:r w:rsidRPr="00856DF7">
        <w:t xml:space="preserve"> konsumentom i </w:t>
      </w:r>
      <w:r w:rsidR="006B497B">
        <w:t xml:space="preserve">720 </w:t>
      </w:r>
      <w:r w:rsidRPr="00856DF7">
        <w:t>przedsiębiorcom.</w:t>
      </w:r>
    </w:p>
    <w:p w14:paraId="48250ADF" w14:textId="604BD531" w:rsidR="000D6E9F" w:rsidRDefault="000D6E9F" w:rsidP="00F377D9">
      <w:pPr>
        <w:jc w:val="both"/>
        <w:rPr>
          <w:b/>
        </w:rPr>
      </w:pPr>
    </w:p>
    <w:p w14:paraId="20ABCDDF" w14:textId="583EADD6" w:rsidR="000D6E9F" w:rsidRPr="009E7708" w:rsidRDefault="0088502A" w:rsidP="009E7708">
      <w:pPr>
        <w:pStyle w:val="Akapitzlist"/>
        <w:numPr>
          <w:ilvl w:val="0"/>
          <w:numId w:val="23"/>
        </w:numPr>
        <w:ind w:left="426"/>
        <w:jc w:val="both"/>
        <w:rPr>
          <w:rFonts w:ascii="Times New Roman" w:hAnsi="Times New Roman"/>
          <w:b/>
          <w:sz w:val="24"/>
          <w:szCs w:val="24"/>
        </w:rPr>
      </w:pPr>
      <w:r w:rsidRPr="00856DF7">
        <w:rPr>
          <w:noProof/>
        </w:rPr>
        <w:drawing>
          <wp:anchor distT="0" distB="0" distL="114300" distR="114300" simplePos="0" relativeHeight="251653632" behindDoc="1" locked="0" layoutInCell="1" allowOverlap="1" wp14:anchorId="295E9D2B" wp14:editId="256C5D55">
            <wp:simplePos x="0" y="0"/>
            <wp:positionH relativeFrom="margin">
              <wp:posOffset>3843020</wp:posOffset>
            </wp:positionH>
            <wp:positionV relativeFrom="page">
              <wp:posOffset>4800600</wp:posOffset>
            </wp:positionV>
            <wp:extent cx="2133600" cy="1838325"/>
            <wp:effectExtent l="0" t="0" r="0" b="9525"/>
            <wp:wrapTight wrapText="bothSides">
              <wp:wrapPolygon edited="0">
                <wp:start x="0" y="0"/>
                <wp:lineTo x="0" y="21488"/>
                <wp:lineTo x="21407" y="21488"/>
                <wp:lineTo x="21407" y="0"/>
                <wp:lineTo x="0" y="0"/>
              </wp:wrapPolygon>
            </wp:wrapTight>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E80632" w:rsidRPr="00CE0E88">
        <w:rPr>
          <w:rFonts w:ascii="Times New Roman" w:hAnsi="Times New Roman"/>
          <w:b/>
          <w:sz w:val="24"/>
          <w:szCs w:val="24"/>
        </w:rPr>
        <w:t>Stały Sąd Polubowny</w:t>
      </w:r>
    </w:p>
    <w:p w14:paraId="21D5E88A" w14:textId="7F9079FA" w:rsidR="00191131" w:rsidRPr="00C54E01" w:rsidRDefault="00446FBD" w:rsidP="00F377D9">
      <w:pPr>
        <w:jc w:val="both"/>
        <w:rPr>
          <w:b/>
        </w:rPr>
      </w:pPr>
      <w:r w:rsidRPr="00856DF7">
        <w:rPr>
          <w:bCs/>
        </w:rPr>
        <w:t xml:space="preserve">W okresie sprawozdawczym do Stałego Sądu Polubownego wpłynęło </w:t>
      </w:r>
      <w:r w:rsidR="00363D01">
        <w:rPr>
          <w:bCs/>
        </w:rPr>
        <w:t>7</w:t>
      </w:r>
      <w:r w:rsidRPr="00856DF7">
        <w:rPr>
          <w:bCs/>
        </w:rPr>
        <w:t xml:space="preserve"> wniosk</w:t>
      </w:r>
      <w:r w:rsidR="00F1617B" w:rsidRPr="00856DF7">
        <w:rPr>
          <w:bCs/>
        </w:rPr>
        <w:t>ów</w:t>
      </w:r>
      <w:r w:rsidRPr="00856DF7">
        <w:rPr>
          <w:bCs/>
        </w:rPr>
        <w:t xml:space="preserve"> o rozpatrzenie spraw, o łącznej wartości roszczeń </w:t>
      </w:r>
      <w:r w:rsidR="00191131" w:rsidRPr="00856DF7">
        <w:rPr>
          <w:bCs/>
        </w:rPr>
        <w:t>2</w:t>
      </w:r>
      <w:r w:rsidR="00363D01">
        <w:rPr>
          <w:bCs/>
        </w:rPr>
        <w:t>5895</w:t>
      </w:r>
      <w:r w:rsidRPr="00856DF7">
        <w:rPr>
          <w:bCs/>
        </w:rPr>
        <w:t xml:space="preserve"> zł.</w:t>
      </w:r>
      <w:r w:rsidR="00191131" w:rsidRPr="00856DF7">
        <w:rPr>
          <w:bCs/>
        </w:rPr>
        <w:t xml:space="preserve"> </w:t>
      </w:r>
    </w:p>
    <w:p w14:paraId="1CA9F992" w14:textId="2FD5C364" w:rsidR="00363D01" w:rsidRPr="00856DF7" w:rsidRDefault="00363D01" w:rsidP="00F377D9">
      <w:pPr>
        <w:jc w:val="both"/>
        <w:rPr>
          <w:bCs/>
        </w:rPr>
      </w:pPr>
    </w:p>
    <w:p w14:paraId="389A50D2" w14:textId="6AC6603B" w:rsidR="00E80632" w:rsidRDefault="0009724A" w:rsidP="006D7DEE">
      <w:pPr>
        <w:autoSpaceDE w:val="0"/>
        <w:spacing w:after="240"/>
        <w:jc w:val="both"/>
        <w:rPr>
          <w:bCs/>
        </w:rPr>
      </w:pPr>
      <w:r w:rsidRPr="00856DF7">
        <w:rPr>
          <w:bCs/>
        </w:rPr>
        <w:t xml:space="preserve">W </w:t>
      </w:r>
      <w:r w:rsidR="00363D01">
        <w:rPr>
          <w:bCs/>
        </w:rPr>
        <w:t>4</w:t>
      </w:r>
      <w:r w:rsidRPr="00856DF7">
        <w:rPr>
          <w:bCs/>
        </w:rPr>
        <w:t xml:space="preserve"> sprawach strony zawarły ugodę w postepowaniu wstępnym</w:t>
      </w:r>
      <w:r w:rsidR="008F6EAF">
        <w:rPr>
          <w:bCs/>
        </w:rPr>
        <w:t xml:space="preserve"> w odniesieniu do roszczeń o wartości 5115 zł</w:t>
      </w:r>
      <w:r w:rsidR="00363D01">
        <w:rPr>
          <w:bCs/>
        </w:rPr>
        <w:t xml:space="preserve">. </w:t>
      </w:r>
      <w:r w:rsidRPr="00856DF7">
        <w:rPr>
          <w:bCs/>
        </w:rPr>
        <w:t>Pozostałe wnioski zwrócono</w:t>
      </w:r>
      <w:r w:rsidR="000C3BB2">
        <w:rPr>
          <w:bCs/>
        </w:rPr>
        <w:t xml:space="preserve"> z uwagi na nie podpisanie zapisu na sąd polubowny przez stronę pozwaną</w:t>
      </w:r>
      <w:r w:rsidRPr="00856DF7">
        <w:rPr>
          <w:bCs/>
        </w:rPr>
        <w:t xml:space="preserve">. </w:t>
      </w:r>
    </w:p>
    <w:p w14:paraId="5766A162" w14:textId="77777777" w:rsidR="0088502A" w:rsidRDefault="0088502A" w:rsidP="006D7DEE">
      <w:pPr>
        <w:autoSpaceDE w:val="0"/>
        <w:spacing w:after="240"/>
        <w:jc w:val="both"/>
        <w:rPr>
          <w:bCs/>
        </w:rPr>
      </w:pPr>
    </w:p>
    <w:p w14:paraId="570161B8" w14:textId="585CAD06" w:rsidR="000C3BB2" w:rsidRPr="00835C8A" w:rsidRDefault="000C3BB2" w:rsidP="000C3BB2">
      <w:pPr>
        <w:pStyle w:val="Akapitzlist"/>
        <w:numPr>
          <w:ilvl w:val="0"/>
          <w:numId w:val="4"/>
        </w:numPr>
        <w:contextualSpacing/>
        <w:rPr>
          <w:rFonts w:ascii="Times New Roman" w:hAnsi="Times New Roman"/>
          <w:b/>
          <w:sz w:val="28"/>
          <w:szCs w:val="28"/>
        </w:rPr>
      </w:pPr>
      <w:r w:rsidRPr="00835C8A">
        <w:rPr>
          <w:rFonts w:ascii="Times New Roman" w:hAnsi="Times New Roman"/>
          <w:b/>
          <w:sz w:val="28"/>
          <w:szCs w:val="28"/>
        </w:rPr>
        <w:t>Podsumowanie</w:t>
      </w:r>
    </w:p>
    <w:p w14:paraId="26A9A3FD" w14:textId="28413268" w:rsidR="00F377D9" w:rsidRPr="0088502A" w:rsidRDefault="000C3BB2" w:rsidP="0088502A">
      <w:pPr>
        <w:ind w:firstLine="360"/>
        <w:contextualSpacing/>
        <w:jc w:val="both"/>
      </w:pPr>
      <w:r w:rsidRPr="00A91653">
        <w:t>Zaprezentowane</w:t>
      </w:r>
      <w:r>
        <w:t xml:space="preserve"> wyżej dane dają podstawę do stwierdzenia, że Wojewódzki Inspektorat Inspekcji Handlowej w Białymstoku – pomimo obiektywnych trudnoś</w:t>
      </w:r>
      <w:r w:rsidR="008F6EAF">
        <w:t>ci wynikających ze wzrostu kosztów utrzymania zajmowanych pomieszczeń, cen energii i paliw -</w:t>
      </w:r>
      <w:r>
        <w:t xml:space="preserve"> z powodzeniem realizował zadania wynikające z rocznego planu pracy kontrolnej oraz liczne dodatkowe działania.</w:t>
      </w:r>
      <w:r w:rsidR="008F6EAF">
        <w:t xml:space="preserve"> Należy podkreślić znaczący wzrost efektywności podejmowanych działań w większości obszarów działalności WIIH.</w:t>
      </w:r>
      <w:r>
        <w:t xml:space="preserve"> Liczba przeprowadzonych kontroli znacznie przewyższyła tą z 2021 roku, natomiast wyniki zarówno kontroli w poszczególnych obszarach, jak i działań </w:t>
      </w:r>
      <w:proofErr w:type="spellStart"/>
      <w:r>
        <w:t>pozakontrolnych</w:t>
      </w:r>
      <w:proofErr w:type="spellEnd"/>
      <w:r>
        <w:t>, wskazują na znaczący wzrost ich efektywności w odniesieniu do poprzedniego roku.</w:t>
      </w:r>
      <w:r w:rsidR="00390FEB">
        <w:t xml:space="preserve"> Wskazać należy na wzrost liczby kontroli o </w:t>
      </w:r>
      <w:r w:rsidR="00390FEB" w:rsidRPr="00EB09EC">
        <w:rPr>
          <w:b/>
        </w:rPr>
        <w:t>61,5%,</w:t>
      </w:r>
      <w:r w:rsidR="00390FEB">
        <w:t xml:space="preserve"> liczby wydanych decyzji </w:t>
      </w:r>
      <w:r w:rsidR="003910C0">
        <w:t xml:space="preserve">o </w:t>
      </w:r>
      <w:r w:rsidR="003910C0" w:rsidRPr="00EB09EC">
        <w:rPr>
          <w:b/>
        </w:rPr>
        <w:t>77,3%,</w:t>
      </w:r>
      <w:r w:rsidR="003910C0">
        <w:t xml:space="preserve"> wartości nałożonych kar administracyjnych o </w:t>
      </w:r>
      <w:r w:rsidR="003910C0" w:rsidRPr="00EB09EC">
        <w:rPr>
          <w:b/>
        </w:rPr>
        <w:t>68,2%,</w:t>
      </w:r>
      <w:r w:rsidR="003910C0">
        <w:t xml:space="preserve"> liczby nałożonych mandatów karnych o </w:t>
      </w:r>
      <w:r w:rsidR="003910C0" w:rsidRPr="00EB09EC">
        <w:rPr>
          <w:b/>
        </w:rPr>
        <w:t>88,9%,</w:t>
      </w:r>
      <w:r w:rsidR="003910C0">
        <w:t xml:space="preserve"> wartości mandatów o </w:t>
      </w:r>
      <w:r w:rsidR="003910C0" w:rsidRPr="00EB09EC">
        <w:rPr>
          <w:b/>
        </w:rPr>
        <w:t>150,7%,</w:t>
      </w:r>
      <w:r w:rsidR="003910C0">
        <w:t xml:space="preserve"> liczby próbek produktów przekazanych do badań laboratoryjnych o </w:t>
      </w:r>
      <w:r w:rsidR="00EE0625">
        <w:rPr>
          <w:b/>
        </w:rPr>
        <w:t>9,7</w:t>
      </w:r>
      <w:r w:rsidR="003910C0" w:rsidRPr="00EB09EC">
        <w:rPr>
          <w:b/>
        </w:rPr>
        <w:t xml:space="preserve"> %,</w:t>
      </w:r>
      <w:r w:rsidR="003910C0">
        <w:t xml:space="preserve"> kosztów poniesionych badań</w:t>
      </w:r>
      <w:r w:rsidR="00676EB4">
        <w:t xml:space="preserve"> laboratoryjnych</w:t>
      </w:r>
      <w:r w:rsidR="003910C0">
        <w:t xml:space="preserve"> o </w:t>
      </w:r>
      <w:r w:rsidR="003910C0" w:rsidRPr="00EB09EC">
        <w:rPr>
          <w:b/>
        </w:rPr>
        <w:t>32,9%</w:t>
      </w:r>
      <w:r w:rsidR="00EB09EC" w:rsidRPr="00EB09EC">
        <w:rPr>
          <w:b/>
        </w:rPr>
        <w:t>.</w:t>
      </w:r>
      <w:r>
        <w:t xml:space="preserve"> Podkreślenia wymaga również znaczna skala dodatkowych form aktywności mających znaczenie w rozwiązywaniu m in. problemów wynikających z bieżących, negatywnych zjawisk gospodarczych.</w:t>
      </w:r>
    </w:p>
    <w:p w14:paraId="196E78BF" w14:textId="2D53A7E3" w:rsidR="00E80632" w:rsidRDefault="00E80632" w:rsidP="00F377D9">
      <w:pPr>
        <w:pStyle w:val="Akapitzlist"/>
        <w:numPr>
          <w:ilvl w:val="0"/>
          <w:numId w:val="4"/>
        </w:numPr>
        <w:autoSpaceDE w:val="0"/>
        <w:spacing w:after="0" w:line="240" w:lineRule="auto"/>
        <w:jc w:val="both"/>
        <w:rPr>
          <w:rFonts w:ascii="Times New Roman" w:eastAsia="Times New Roman" w:hAnsi="Times New Roman"/>
          <w:b/>
          <w:color w:val="323E4F" w:themeColor="text2" w:themeShade="BF"/>
          <w:sz w:val="28"/>
          <w:szCs w:val="28"/>
          <w:lang w:eastAsia="hi-IN" w:bidi="hi-IN"/>
        </w:rPr>
      </w:pPr>
      <w:r w:rsidRPr="00F377D9">
        <w:rPr>
          <w:rFonts w:ascii="Times New Roman" w:eastAsia="Times New Roman" w:hAnsi="Times New Roman"/>
          <w:b/>
          <w:color w:val="323E4F" w:themeColor="text2" w:themeShade="BF"/>
          <w:sz w:val="28"/>
          <w:szCs w:val="28"/>
          <w:lang w:eastAsia="hi-IN" w:bidi="hi-IN"/>
        </w:rPr>
        <w:lastRenderedPageBreak/>
        <w:t>Kierunki działania w 202</w:t>
      </w:r>
      <w:r w:rsidR="00363D01">
        <w:rPr>
          <w:rFonts w:ascii="Times New Roman" w:eastAsia="Times New Roman" w:hAnsi="Times New Roman"/>
          <w:b/>
          <w:color w:val="323E4F" w:themeColor="text2" w:themeShade="BF"/>
          <w:sz w:val="28"/>
          <w:szCs w:val="28"/>
          <w:lang w:eastAsia="hi-IN" w:bidi="hi-IN"/>
        </w:rPr>
        <w:t>3</w:t>
      </w:r>
      <w:r w:rsidRPr="00F377D9">
        <w:rPr>
          <w:rFonts w:ascii="Times New Roman" w:eastAsia="Times New Roman" w:hAnsi="Times New Roman"/>
          <w:b/>
          <w:color w:val="323E4F" w:themeColor="text2" w:themeShade="BF"/>
          <w:sz w:val="28"/>
          <w:szCs w:val="28"/>
          <w:lang w:eastAsia="hi-IN" w:bidi="hi-IN"/>
        </w:rPr>
        <w:t xml:space="preserve"> r.</w:t>
      </w:r>
    </w:p>
    <w:p w14:paraId="11BDBEB0" w14:textId="00CCC106" w:rsidR="00F377D9" w:rsidRPr="006C795A" w:rsidRDefault="00F377D9" w:rsidP="00F377D9">
      <w:pPr>
        <w:pStyle w:val="Akapitzlist"/>
        <w:autoSpaceDE w:val="0"/>
        <w:spacing w:after="0" w:line="240" w:lineRule="auto"/>
        <w:ind w:left="360"/>
        <w:jc w:val="both"/>
        <w:rPr>
          <w:rFonts w:ascii="Times New Roman" w:eastAsia="Times New Roman" w:hAnsi="Times New Roman"/>
          <w:b/>
          <w:sz w:val="28"/>
          <w:szCs w:val="28"/>
          <w:lang w:eastAsia="hi-IN" w:bidi="hi-IN"/>
        </w:rPr>
      </w:pPr>
    </w:p>
    <w:p w14:paraId="54A17571" w14:textId="5BEFBA7A" w:rsidR="006C795A" w:rsidRPr="006C795A" w:rsidRDefault="006C795A" w:rsidP="006C795A">
      <w:pPr>
        <w:ind w:firstLine="360"/>
        <w:jc w:val="both"/>
      </w:pPr>
      <w:r w:rsidRPr="006C795A">
        <w:t xml:space="preserve">Rok 2023 będzie rokiem szczególnym, ponieważ Urząd Ochrony Konkurencji i Konsumentów będzie prowadzić działania jako gospodarz Międzynarodowej Sieci Ochrony Konsumentów(ICPEN – International Consumer </w:t>
      </w:r>
      <w:proofErr w:type="spellStart"/>
      <w:r w:rsidRPr="006C795A">
        <w:t>Protection</w:t>
      </w:r>
      <w:proofErr w:type="spellEnd"/>
      <w:r w:rsidRPr="006C795A">
        <w:t xml:space="preserve"> and </w:t>
      </w:r>
      <w:proofErr w:type="spellStart"/>
      <w:r w:rsidRPr="006C795A">
        <w:t>Enforcement</w:t>
      </w:r>
      <w:proofErr w:type="spellEnd"/>
      <w:r w:rsidRPr="006C795A">
        <w:t xml:space="preserve"> Network). Polska na rok przejmuje prezydencję ICPEN od Australijskiej Komisji ds. Konkurencji i Konsumentów. Tematem wiodącym prowadzonych działań i organizowanych wydarzeń będzie istota i kształtowanie zrównoważonych, odpowiedzialnych wyborów konsumenckich.</w:t>
      </w:r>
    </w:p>
    <w:p w14:paraId="2DD8821C" w14:textId="2A712741" w:rsidR="00E80632" w:rsidRPr="006C795A" w:rsidRDefault="00E80632" w:rsidP="00F377D9"/>
    <w:p w14:paraId="6916757A" w14:textId="09DAF9C6" w:rsidR="006C795A" w:rsidRPr="006C795A" w:rsidRDefault="006C795A" w:rsidP="006C795A">
      <w:pPr>
        <w:ind w:firstLine="708"/>
        <w:jc w:val="both"/>
      </w:pPr>
      <w:r w:rsidRPr="006C795A">
        <w:t>Zgodnie ze stanowiskiem Prezesa Urzędu Konkurencji i Konsumentów Inspekcja Handlowa poprzez swoje działania i kontrole, włączy się w rozwijanie koncepcji odpowiedzialnej konsumpcji. Stąd też w Planie kontroli Inspekcji Handlowej na 2023 r. wyróżniono te tematy, który w sposób szczególny odnoszą się do zagadnienia zrównoważonego rozwoju i odpowiedzialnej konsumpcji.</w:t>
      </w:r>
    </w:p>
    <w:p w14:paraId="2CC0A78D" w14:textId="6478AB9A" w:rsidR="00256674" w:rsidRPr="006C795A" w:rsidRDefault="006C795A" w:rsidP="00EE0625">
      <w:pPr>
        <w:ind w:firstLine="708"/>
        <w:jc w:val="both"/>
      </w:pPr>
      <w:r w:rsidRPr="006C795A">
        <w:t xml:space="preserve">Szczególny nacisk zostanie położony na kontrole w zakresie przestrzegania przepisów ustawy o informowaniu o cenach produktów i usług, co ma związek ze zmianami prowadzonymi w przepisach w związku z tzw. dyrektywą OMNIBUS. </w:t>
      </w:r>
    </w:p>
    <w:p w14:paraId="6CADF3DF" w14:textId="77777777" w:rsidR="006C795A" w:rsidRPr="006C795A" w:rsidRDefault="006C795A" w:rsidP="006C795A">
      <w:pPr>
        <w:ind w:firstLine="708"/>
      </w:pPr>
    </w:p>
    <w:p w14:paraId="664F8B53" w14:textId="51FBA95A" w:rsidR="00A23B1B" w:rsidRPr="00256674" w:rsidRDefault="006C795A" w:rsidP="00F377D9">
      <w:pPr>
        <w:rPr>
          <w:color w:val="FF0000"/>
        </w:rPr>
      </w:pPr>
      <w:r w:rsidRPr="00C359A2">
        <w:t>Priorytetem działania Inspektoratu w 202</w:t>
      </w:r>
      <w:r>
        <w:t>3</w:t>
      </w:r>
      <w:r w:rsidRPr="00C359A2">
        <w:t xml:space="preserve"> r. będzie realizacja:</w:t>
      </w:r>
    </w:p>
    <w:p w14:paraId="660428F0" w14:textId="53114A1E" w:rsidR="00E80632" w:rsidRPr="005C0B3B" w:rsidRDefault="00E80632" w:rsidP="00F377D9">
      <w:pPr>
        <w:pStyle w:val="Akapitzlist"/>
        <w:numPr>
          <w:ilvl w:val="0"/>
          <w:numId w:val="3"/>
        </w:numPr>
        <w:suppressAutoHyphens w:val="0"/>
        <w:spacing w:after="0" w:line="240" w:lineRule="auto"/>
        <w:contextualSpacing/>
        <w:jc w:val="both"/>
        <w:rPr>
          <w:rFonts w:ascii="Times New Roman" w:hAnsi="Times New Roman"/>
          <w:sz w:val="24"/>
          <w:szCs w:val="24"/>
        </w:rPr>
      </w:pPr>
      <w:r w:rsidRPr="005C0B3B">
        <w:rPr>
          <w:rFonts w:ascii="Times New Roman" w:hAnsi="Times New Roman"/>
          <w:sz w:val="24"/>
          <w:szCs w:val="24"/>
        </w:rPr>
        <w:t>zadań kontrolnych wskazanych przez Prezesa Urzędu Ochrony Konkurencji i Konsumentów w Rocznym Planie Kont</w:t>
      </w:r>
      <w:r w:rsidR="00911D2E" w:rsidRPr="005C0B3B">
        <w:rPr>
          <w:rFonts w:ascii="Times New Roman" w:hAnsi="Times New Roman"/>
          <w:sz w:val="24"/>
          <w:szCs w:val="24"/>
        </w:rPr>
        <w:t>roli Inspekcji Handlowej na 202</w:t>
      </w:r>
      <w:r w:rsidR="00363D01" w:rsidRPr="005C0B3B">
        <w:rPr>
          <w:rFonts w:ascii="Times New Roman" w:hAnsi="Times New Roman"/>
          <w:sz w:val="24"/>
          <w:szCs w:val="24"/>
        </w:rPr>
        <w:t>3</w:t>
      </w:r>
      <w:r w:rsidRPr="005C0B3B">
        <w:rPr>
          <w:rFonts w:ascii="Times New Roman" w:hAnsi="Times New Roman"/>
          <w:sz w:val="24"/>
          <w:szCs w:val="24"/>
        </w:rPr>
        <w:t xml:space="preserve"> r.,</w:t>
      </w:r>
    </w:p>
    <w:p w14:paraId="48A364F1" w14:textId="4A2C6A62" w:rsidR="00E80632" w:rsidRPr="005C0B3B" w:rsidRDefault="00E80632" w:rsidP="005C0B3B">
      <w:pPr>
        <w:pStyle w:val="Akapitzlist"/>
        <w:numPr>
          <w:ilvl w:val="0"/>
          <w:numId w:val="3"/>
        </w:numPr>
        <w:suppressAutoHyphens w:val="0"/>
        <w:spacing w:after="0" w:line="240" w:lineRule="auto"/>
        <w:contextualSpacing/>
        <w:jc w:val="both"/>
        <w:rPr>
          <w:rFonts w:ascii="Times New Roman" w:hAnsi="Times New Roman"/>
          <w:sz w:val="24"/>
          <w:szCs w:val="24"/>
        </w:rPr>
      </w:pPr>
      <w:r w:rsidRPr="005C0B3B">
        <w:rPr>
          <w:rFonts w:ascii="Times New Roman" w:hAnsi="Times New Roman"/>
          <w:sz w:val="24"/>
          <w:szCs w:val="24"/>
        </w:rPr>
        <w:t>kontroli własnych obszarów wynikających z analizy ryzyka sporządzonego na podstawie wyników kontroli przeprowadzonych w 202</w:t>
      </w:r>
      <w:r w:rsidR="00911D2E" w:rsidRPr="005C0B3B">
        <w:rPr>
          <w:rFonts w:ascii="Times New Roman" w:hAnsi="Times New Roman"/>
          <w:sz w:val="24"/>
          <w:szCs w:val="24"/>
        </w:rPr>
        <w:t>2</w:t>
      </w:r>
      <w:r w:rsidR="00463484">
        <w:rPr>
          <w:rFonts w:ascii="Times New Roman" w:hAnsi="Times New Roman"/>
          <w:sz w:val="24"/>
          <w:szCs w:val="24"/>
        </w:rPr>
        <w:t xml:space="preserve"> r. – również poprzez przekazywanie</w:t>
      </w:r>
      <w:r w:rsidR="007C292A" w:rsidRPr="005C0B3B">
        <w:rPr>
          <w:rFonts w:ascii="Times New Roman" w:hAnsi="Times New Roman"/>
          <w:sz w:val="24"/>
          <w:szCs w:val="24"/>
        </w:rPr>
        <w:t xml:space="preserve"> próbek produktów do badań</w:t>
      </w:r>
      <w:r w:rsidR="00235246" w:rsidRPr="005C0B3B">
        <w:rPr>
          <w:rFonts w:ascii="Times New Roman" w:hAnsi="Times New Roman"/>
          <w:sz w:val="24"/>
          <w:szCs w:val="24"/>
        </w:rPr>
        <w:t xml:space="preserve"> laboratoryjnych.</w:t>
      </w:r>
    </w:p>
    <w:p w14:paraId="3F643EA7" w14:textId="0E2ABBAC" w:rsidR="00E80632" w:rsidRPr="005C0B3B" w:rsidRDefault="00E80632" w:rsidP="00F377D9">
      <w:pPr>
        <w:pStyle w:val="Akapitzlist"/>
        <w:numPr>
          <w:ilvl w:val="0"/>
          <w:numId w:val="3"/>
        </w:numPr>
        <w:suppressAutoHyphens w:val="0"/>
        <w:spacing w:after="0" w:line="240" w:lineRule="auto"/>
        <w:contextualSpacing/>
        <w:jc w:val="both"/>
        <w:rPr>
          <w:rFonts w:ascii="Times New Roman" w:hAnsi="Times New Roman"/>
          <w:sz w:val="24"/>
          <w:szCs w:val="24"/>
        </w:rPr>
      </w:pPr>
      <w:r w:rsidRPr="005C0B3B">
        <w:rPr>
          <w:rFonts w:ascii="Times New Roman" w:hAnsi="Times New Roman"/>
          <w:sz w:val="24"/>
          <w:szCs w:val="24"/>
        </w:rPr>
        <w:t xml:space="preserve">zadań wynikających z ustawy o systemie monitorowania i kontroli jakości paliw, </w:t>
      </w:r>
    </w:p>
    <w:p w14:paraId="03C462FD" w14:textId="0E997135" w:rsidR="00E80632" w:rsidRPr="005C0B3B" w:rsidRDefault="00E80632" w:rsidP="00F377D9">
      <w:pPr>
        <w:pStyle w:val="Akapitzlist"/>
        <w:numPr>
          <w:ilvl w:val="0"/>
          <w:numId w:val="3"/>
        </w:numPr>
        <w:suppressAutoHyphens w:val="0"/>
        <w:spacing w:after="0" w:line="240" w:lineRule="auto"/>
        <w:contextualSpacing/>
        <w:jc w:val="both"/>
        <w:rPr>
          <w:rFonts w:ascii="Times New Roman" w:hAnsi="Times New Roman"/>
          <w:sz w:val="24"/>
          <w:szCs w:val="24"/>
        </w:rPr>
      </w:pPr>
      <w:r w:rsidRPr="005C0B3B">
        <w:rPr>
          <w:rFonts w:ascii="Times New Roman" w:hAnsi="Times New Roman"/>
          <w:sz w:val="24"/>
          <w:szCs w:val="24"/>
        </w:rPr>
        <w:t>promocji zasad pozasądowego rozwiązywanie sporów konsumenckich,</w:t>
      </w:r>
    </w:p>
    <w:p w14:paraId="0FD626BB" w14:textId="2ED1E1C3" w:rsidR="00F377D9" w:rsidRPr="005C0B3B" w:rsidRDefault="00A23B1B" w:rsidP="00FE2F70">
      <w:pPr>
        <w:pStyle w:val="Akapitzlist"/>
        <w:numPr>
          <w:ilvl w:val="0"/>
          <w:numId w:val="3"/>
        </w:numPr>
        <w:suppressAutoHyphens w:val="0"/>
        <w:spacing w:after="0" w:line="240" w:lineRule="auto"/>
        <w:contextualSpacing/>
        <w:jc w:val="both"/>
        <w:rPr>
          <w:rFonts w:ascii="Times New Roman" w:hAnsi="Times New Roman"/>
          <w:sz w:val="24"/>
          <w:szCs w:val="24"/>
        </w:rPr>
      </w:pPr>
      <w:r w:rsidRPr="005C0B3B">
        <w:rPr>
          <w:rFonts w:ascii="Times New Roman" w:hAnsi="Times New Roman"/>
          <w:sz w:val="24"/>
          <w:szCs w:val="24"/>
        </w:rPr>
        <w:t>poradnictwa konsumenckiego</w:t>
      </w:r>
      <w:r w:rsidR="00363D01" w:rsidRPr="005C0B3B">
        <w:rPr>
          <w:rFonts w:ascii="Times New Roman" w:hAnsi="Times New Roman"/>
          <w:sz w:val="24"/>
          <w:szCs w:val="24"/>
        </w:rPr>
        <w:t>,</w:t>
      </w:r>
    </w:p>
    <w:p w14:paraId="14A0D415" w14:textId="304AE4E1" w:rsidR="00A23B1B" w:rsidRPr="005C0B3B" w:rsidRDefault="00A23B1B" w:rsidP="00FE2F70">
      <w:pPr>
        <w:pStyle w:val="Akapitzlist"/>
        <w:numPr>
          <w:ilvl w:val="0"/>
          <w:numId w:val="3"/>
        </w:numPr>
        <w:suppressAutoHyphens w:val="0"/>
        <w:spacing w:after="0" w:line="240" w:lineRule="auto"/>
        <w:contextualSpacing/>
        <w:jc w:val="both"/>
        <w:rPr>
          <w:rFonts w:ascii="Times New Roman" w:hAnsi="Times New Roman"/>
          <w:sz w:val="24"/>
          <w:szCs w:val="24"/>
        </w:rPr>
      </w:pPr>
      <w:r w:rsidRPr="005C0B3B">
        <w:rPr>
          <w:rFonts w:ascii="Times New Roman" w:hAnsi="Times New Roman"/>
          <w:sz w:val="24"/>
          <w:szCs w:val="24"/>
        </w:rPr>
        <w:t>prowadzenie działań monitorujących zjawiska zachodzące na rynku w zakresie kształtowania się cen paliw i podstawowych artykułów spożywczych oraz przekazywanie ich wyników do Prezesa UOKiK</w:t>
      </w:r>
      <w:r w:rsidR="00A91653" w:rsidRPr="005C0B3B">
        <w:rPr>
          <w:rFonts w:ascii="Times New Roman" w:hAnsi="Times New Roman"/>
          <w:sz w:val="24"/>
          <w:szCs w:val="24"/>
        </w:rPr>
        <w:t xml:space="preserve"> </w:t>
      </w:r>
    </w:p>
    <w:p w14:paraId="443B62BB" w14:textId="2107FE47" w:rsidR="00A91653" w:rsidRDefault="00A91653" w:rsidP="00A91653">
      <w:pPr>
        <w:contextualSpacing/>
        <w:jc w:val="center"/>
      </w:pPr>
    </w:p>
    <w:p w14:paraId="4AB29D1E" w14:textId="2E534BF8" w:rsidR="000D6E9F" w:rsidRDefault="000D6E9F" w:rsidP="00A91653">
      <w:pPr>
        <w:contextualSpacing/>
        <w:jc w:val="center"/>
      </w:pPr>
    </w:p>
    <w:p w14:paraId="4C963020" w14:textId="38C11CF5" w:rsidR="006C795A" w:rsidRDefault="006C795A" w:rsidP="00A91653">
      <w:pPr>
        <w:contextualSpacing/>
        <w:jc w:val="center"/>
      </w:pPr>
    </w:p>
    <w:p w14:paraId="6380BAF8" w14:textId="77777777" w:rsidR="006C795A" w:rsidRDefault="006C795A" w:rsidP="00A91653">
      <w:pPr>
        <w:contextualSpacing/>
        <w:jc w:val="center"/>
      </w:pPr>
    </w:p>
    <w:p w14:paraId="18D7DD71" w14:textId="77777777" w:rsidR="006C795A" w:rsidRDefault="006C795A" w:rsidP="006C795A">
      <w:pPr>
        <w:ind w:firstLine="4536"/>
        <w:contextualSpacing/>
        <w:jc w:val="center"/>
      </w:pPr>
      <w:r>
        <w:t>PODLASKI WOJEWÓDZKI INSPEKTOR</w:t>
      </w:r>
    </w:p>
    <w:p w14:paraId="2C56ED07" w14:textId="77777777" w:rsidR="006C795A" w:rsidRDefault="006C795A" w:rsidP="006C795A">
      <w:pPr>
        <w:ind w:firstLine="4536"/>
        <w:contextualSpacing/>
        <w:jc w:val="center"/>
      </w:pPr>
      <w:r>
        <w:t>INSPEKCJI HANDLOWEJ</w:t>
      </w:r>
    </w:p>
    <w:p w14:paraId="1DCFE921" w14:textId="77777777" w:rsidR="006C795A" w:rsidRDefault="006C795A" w:rsidP="006C795A">
      <w:pPr>
        <w:ind w:firstLine="4536"/>
        <w:contextualSpacing/>
        <w:jc w:val="center"/>
      </w:pPr>
    </w:p>
    <w:p w14:paraId="1EFC1A39" w14:textId="4C2F6AAF" w:rsidR="006C795A" w:rsidRDefault="006C795A" w:rsidP="006C795A">
      <w:pPr>
        <w:ind w:firstLine="4536"/>
        <w:contextualSpacing/>
        <w:jc w:val="center"/>
      </w:pPr>
      <w:r>
        <w:t>Bogdan Janusz Dobrzyński</w:t>
      </w:r>
    </w:p>
    <w:sectPr w:rsidR="006C795A" w:rsidSect="00726D0C">
      <w:footerReference w:type="even" r:id="rId24"/>
      <w:footerReference w:type="default" r:id="rId25"/>
      <w:pgSz w:w="11906" w:h="16838" w:code="9"/>
      <w:pgMar w:top="1418" w:right="1276" w:bottom="1021"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8975" w14:textId="77777777" w:rsidR="00D44558" w:rsidRDefault="00D44558">
      <w:r>
        <w:separator/>
      </w:r>
    </w:p>
  </w:endnote>
  <w:endnote w:type="continuationSeparator" w:id="0">
    <w:p w14:paraId="4F32B6A7" w14:textId="77777777" w:rsidR="00D44558" w:rsidRDefault="00D4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B9D2" w14:textId="77777777" w:rsidR="001C6CFD" w:rsidRPr="000A6068" w:rsidRDefault="009357A4"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end"/>
    </w:r>
  </w:p>
  <w:p w14:paraId="18E99092" w14:textId="77777777" w:rsidR="001C6CFD" w:rsidRPr="000A6068" w:rsidRDefault="00000000" w:rsidP="008E162A">
    <w:pPr>
      <w:pStyle w:val="Stopka"/>
      <w:ind w:right="360" w:firstLine="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2103" w14:textId="77777777" w:rsidR="001C6CFD" w:rsidRPr="000A6068" w:rsidRDefault="009357A4"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separate"/>
    </w:r>
    <w:r w:rsidR="008A3A1E">
      <w:rPr>
        <w:rStyle w:val="Numerstrony"/>
        <w:noProof/>
        <w:sz w:val="23"/>
        <w:szCs w:val="23"/>
      </w:rPr>
      <w:t>2</w:t>
    </w:r>
    <w:r w:rsidRPr="000A6068">
      <w:rPr>
        <w:rStyle w:val="Numerstrony"/>
        <w:sz w:val="23"/>
        <w:szCs w:val="23"/>
      </w:rPr>
      <w:fldChar w:fldCharType="end"/>
    </w:r>
  </w:p>
  <w:p w14:paraId="501120CB" w14:textId="77777777" w:rsidR="001C6CFD" w:rsidRPr="000A6068" w:rsidRDefault="00000000" w:rsidP="008E162A">
    <w:pPr>
      <w:pStyle w:val="Stopka"/>
      <w:ind w:right="360" w:firstLine="360"/>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FE4A" w14:textId="77777777" w:rsidR="00D44558" w:rsidRDefault="00D44558">
      <w:r>
        <w:separator/>
      </w:r>
    </w:p>
  </w:footnote>
  <w:footnote w:type="continuationSeparator" w:id="0">
    <w:p w14:paraId="3B2B2A1F" w14:textId="77777777" w:rsidR="00D44558" w:rsidRDefault="00D44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78F"/>
    <w:multiLevelType w:val="hybridMultilevel"/>
    <w:tmpl w:val="8B9C4DB6"/>
    <w:lvl w:ilvl="0" w:tplc="04150001">
      <w:start w:val="1"/>
      <w:numFmt w:val="bullet"/>
      <w:lvlText w:val=""/>
      <w:lvlJc w:val="left"/>
      <w:pPr>
        <w:ind w:left="-1779" w:hanging="360"/>
      </w:pPr>
      <w:rPr>
        <w:rFonts w:ascii="Symbol" w:hAnsi="Symbol" w:hint="default"/>
      </w:rPr>
    </w:lvl>
    <w:lvl w:ilvl="1" w:tplc="04150003" w:tentative="1">
      <w:start w:val="1"/>
      <w:numFmt w:val="bullet"/>
      <w:lvlText w:val="o"/>
      <w:lvlJc w:val="left"/>
      <w:pPr>
        <w:ind w:left="-1059" w:hanging="360"/>
      </w:pPr>
      <w:rPr>
        <w:rFonts w:ascii="Courier New" w:hAnsi="Courier New" w:cs="Courier New" w:hint="default"/>
      </w:rPr>
    </w:lvl>
    <w:lvl w:ilvl="2" w:tplc="04150005" w:tentative="1">
      <w:start w:val="1"/>
      <w:numFmt w:val="bullet"/>
      <w:lvlText w:val=""/>
      <w:lvlJc w:val="left"/>
      <w:pPr>
        <w:ind w:left="-339" w:hanging="360"/>
      </w:pPr>
      <w:rPr>
        <w:rFonts w:ascii="Wingdings" w:hAnsi="Wingdings" w:hint="default"/>
      </w:rPr>
    </w:lvl>
    <w:lvl w:ilvl="3" w:tplc="04150001" w:tentative="1">
      <w:start w:val="1"/>
      <w:numFmt w:val="bullet"/>
      <w:lvlText w:val=""/>
      <w:lvlJc w:val="left"/>
      <w:pPr>
        <w:ind w:left="381" w:hanging="360"/>
      </w:pPr>
      <w:rPr>
        <w:rFonts w:ascii="Symbol" w:hAnsi="Symbol" w:hint="default"/>
      </w:rPr>
    </w:lvl>
    <w:lvl w:ilvl="4" w:tplc="04150003" w:tentative="1">
      <w:start w:val="1"/>
      <w:numFmt w:val="bullet"/>
      <w:lvlText w:val="o"/>
      <w:lvlJc w:val="left"/>
      <w:pPr>
        <w:ind w:left="1101" w:hanging="360"/>
      </w:pPr>
      <w:rPr>
        <w:rFonts w:ascii="Courier New" w:hAnsi="Courier New" w:cs="Courier New" w:hint="default"/>
      </w:rPr>
    </w:lvl>
    <w:lvl w:ilvl="5" w:tplc="04150005" w:tentative="1">
      <w:start w:val="1"/>
      <w:numFmt w:val="bullet"/>
      <w:lvlText w:val=""/>
      <w:lvlJc w:val="left"/>
      <w:pPr>
        <w:ind w:left="1821" w:hanging="360"/>
      </w:pPr>
      <w:rPr>
        <w:rFonts w:ascii="Wingdings" w:hAnsi="Wingdings" w:hint="default"/>
      </w:rPr>
    </w:lvl>
    <w:lvl w:ilvl="6" w:tplc="04150001" w:tentative="1">
      <w:start w:val="1"/>
      <w:numFmt w:val="bullet"/>
      <w:lvlText w:val=""/>
      <w:lvlJc w:val="left"/>
      <w:pPr>
        <w:ind w:left="2541" w:hanging="360"/>
      </w:pPr>
      <w:rPr>
        <w:rFonts w:ascii="Symbol" w:hAnsi="Symbol" w:hint="default"/>
      </w:rPr>
    </w:lvl>
    <w:lvl w:ilvl="7" w:tplc="04150003" w:tentative="1">
      <w:start w:val="1"/>
      <w:numFmt w:val="bullet"/>
      <w:lvlText w:val="o"/>
      <w:lvlJc w:val="left"/>
      <w:pPr>
        <w:ind w:left="3261" w:hanging="360"/>
      </w:pPr>
      <w:rPr>
        <w:rFonts w:ascii="Courier New" w:hAnsi="Courier New" w:cs="Courier New" w:hint="default"/>
      </w:rPr>
    </w:lvl>
    <w:lvl w:ilvl="8" w:tplc="04150005" w:tentative="1">
      <w:start w:val="1"/>
      <w:numFmt w:val="bullet"/>
      <w:lvlText w:val=""/>
      <w:lvlJc w:val="left"/>
      <w:pPr>
        <w:ind w:left="3981" w:hanging="360"/>
      </w:pPr>
      <w:rPr>
        <w:rFonts w:ascii="Wingdings" w:hAnsi="Wingdings" w:hint="default"/>
      </w:rPr>
    </w:lvl>
  </w:abstractNum>
  <w:abstractNum w:abstractNumId="1" w15:restartNumberingAfterBreak="0">
    <w:nsid w:val="0A895993"/>
    <w:multiLevelType w:val="hybridMultilevel"/>
    <w:tmpl w:val="CE508248"/>
    <w:lvl w:ilvl="0" w:tplc="3C748926">
      <w:start w:val="1"/>
      <w:numFmt w:val="bullet"/>
      <w:lvlText w:val=""/>
      <w:lvlJc w:val="left"/>
      <w:pPr>
        <w:ind w:left="720" w:hanging="360"/>
      </w:pPr>
      <w:rPr>
        <w:rFonts w:ascii="Symbol" w:hAnsi="Symbol" w:hint="default"/>
      </w:rPr>
    </w:lvl>
    <w:lvl w:ilvl="1" w:tplc="E6B0B0E4" w:tentative="1">
      <w:start w:val="1"/>
      <w:numFmt w:val="bullet"/>
      <w:lvlText w:val="o"/>
      <w:lvlJc w:val="left"/>
      <w:pPr>
        <w:ind w:left="1440" w:hanging="360"/>
      </w:pPr>
      <w:rPr>
        <w:rFonts w:ascii="Courier New" w:hAnsi="Courier New" w:cs="Courier New" w:hint="default"/>
      </w:rPr>
    </w:lvl>
    <w:lvl w:ilvl="2" w:tplc="AF82AF02" w:tentative="1">
      <w:start w:val="1"/>
      <w:numFmt w:val="bullet"/>
      <w:lvlText w:val=""/>
      <w:lvlJc w:val="left"/>
      <w:pPr>
        <w:ind w:left="2160" w:hanging="360"/>
      </w:pPr>
      <w:rPr>
        <w:rFonts w:ascii="Wingdings" w:hAnsi="Wingdings" w:hint="default"/>
      </w:rPr>
    </w:lvl>
    <w:lvl w:ilvl="3" w:tplc="7A9C0F7E" w:tentative="1">
      <w:start w:val="1"/>
      <w:numFmt w:val="bullet"/>
      <w:lvlText w:val=""/>
      <w:lvlJc w:val="left"/>
      <w:pPr>
        <w:ind w:left="2880" w:hanging="360"/>
      </w:pPr>
      <w:rPr>
        <w:rFonts w:ascii="Symbol" w:hAnsi="Symbol" w:hint="default"/>
      </w:rPr>
    </w:lvl>
    <w:lvl w:ilvl="4" w:tplc="968E30CC" w:tentative="1">
      <w:start w:val="1"/>
      <w:numFmt w:val="bullet"/>
      <w:lvlText w:val="o"/>
      <w:lvlJc w:val="left"/>
      <w:pPr>
        <w:ind w:left="3600" w:hanging="360"/>
      </w:pPr>
      <w:rPr>
        <w:rFonts w:ascii="Courier New" w:hAnsi="Courier New" w:cs="Courier New" w:hint="default"/>
      </w:rPr>
    </w:lvl>
    <w:lvl w:ilvl="5" w:tplc="62CC85C8" w:tentative="1">
      <w:start w:val="1"/>
      <w:numFmt w:val="bullet"/>
      <w:lvlText w:val=""/>
      <w:lvlJc w:val="left"/>
      <w:pPr>
        <w:ind w:left="4320" w:hanging="360"/>
      </w:pPr>
      <w:rPr>
        <w:rFonts w:ascii="Wingdings" w:hAnsi="Wingdings" w:hint="default"/>
      </w:rPr>
    </w:lvl>
    <w:lvl w:ilvl="6" w:tplc="B28E6BD8" w:tentative="1">
      <w:start w:val="1"/>
      <w:numFmt w:val="bullet"/>
      <w:lvlText w:val=""/>
      <w:lvlJc w:val="left"/>
      <w:pPr>
        <w:ind w:left="5040" w:hanging="360"/>
      </w:pPr>
      <w:rPr>
        <w:rFonts w:ascii="Symbol" w:hAnsi="Symbol" w:hint="default"/>
      </w:rPr>
    </w:lvl>
    <w:lvl w:ilvl="7" w:tplc="A60CC500" w:tentative="1">
      <w:start w:val="1"/>
      <w:numFmt w:val="bullet"/>
      <w:lvlText w:val="o"/>
      <w:lvlJc w:val="left"/>
      <w:pPr>
        <w:ind w:left="5760" w:hanging="360"/>
      </w:pPr>
      <w:rPr>
        <w:rFonts w:ascii="Courier New" w:hAnsi="Courier New" w:cs="Courier New" w:hint="default"/>
      </w:rPr>
    </w:lvl>
    <w:lvl w:ilvl="8" w:tplc="1A602CEA" w:tentative="1">
      <w:start w:val="1"/>
      <w:numFmt w:val="bullet"/>
      <w:lvlText w:val=""/>
      <w:lvlJc w:val="left"/>
      <w:pPr>
        <w:ind w:left="6480" w:hanging="360"/>
      </w:pPr>
      <w:rPr>
        <w:rFonts w:ascii="Wingdings" w:hAnsi="Wingdings" w:hint="default"/>
      </w:rPr>
    </w:lvl>
  </w:abstractNum>
  <w:abstractNum w:abstractNumId="2" w15:restartNumberingAfterBreak="0">
    <w:nsid w:val="0E9F0E30"/>
    <w:multiLevelType w:val="hybridMultilevel"/>
    <w:tmpl w:val="5A5E6548"/>
    <w:lvl w:ilvl="0" w:tplc="0396FE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A44C80"/>
    <w:multiLevelType w:val="hybridMultilevel"/>
    <w:tmpl w:val="032C0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9928E5"/>
    <w:multiLevelType w:val="hybridMultilevel"/>
    <w:tmpl w:val="CA2EE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867CC"/>
    <w:multiLevelType w:val="hybridMultilevel"/>
    <w:tmpl w:val="7F766E48"/>
    <w:lvl w:ilvl="0" w:tplc="F1609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7E66F9"/>
    <w:multiLevelType w:val="hybridMultilevel"/>
    <w:tmpl w:val="3BD49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7E25E2"/>
    <w:multiLevelType w:val="hybridMultilevel"/>
    <w:tmpl w:val="9B241B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402168"/>
    <w:multiLevelType w:val="hybridMultilevel"/>
    <w:tmpl w:val="91F4EA92"/>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0E4435"/>
    <w:multiLevelType w:val="hybridMultilevel"/>
    <w:tmpl w:val="7D128EB6"/>
    <w:lvl w:ilvl="0" w:tplc="0415000B">
      <w:start w:val="1"/>
      <w:numFmt w:val="bullet"/>
      <w:lvlText w:val=""/>
      <w:lvlJc w:val="left"/>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9B1B17"/>
    <w:multiLevelType w:val="hybridMultilevel"/>
    <w:tmpl w:val="FD5A0238"/>
    <w:lvl w:ilvl="0" w:tplc="DA4E8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C6185D"/>
    <w:multiLevelType w:val="hybridMultilevel"/>
    <w:tmpl w:val="1208F952"/>
    <w:lvl w:ilvl="0" w:tplc="3572CC7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A972B53"/>
    <w:multiLevelType w:val="hybridMultilevel"/>
    <w:tmpl w:val="D33E868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A51BCE"/>
    <w:multiLevelType w:val="hybridMultilevel"/>
    <w:tmpl w:val="B6125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B47289"/>
    <w:multiLevelType w:val="hybridMultilevel"/>
    <w:tmpl w:val="7242D0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BC959AD"/>
    <w:multiLevelType w:val="hybridMultilevel"/>
    <w:tmpl w:val="8A8A77D0"/>
    <w:lvl w:ilvl="0" w:tplc="04150001">
      <w:start w:val="1"/>
      <w:numFmt w:val="bullet"/>
      <w:lvlText w:val=""/>
      <w:lvlJc w:val="left"/>
      <w:pPr>
        <w:ind w:left="717" w:hanging="360"/>
      </w:pPr>
      <w:rPr>
        <w:rFonts w:ascii="Symbol" w:hAnsi="Symbol" w:hint="default"/>
      </w:rPr>
    </w:lvl>
    <w:lvl w:ilvl="1" w:tplc="EF1CB708">
      <w:numFmt w:val="bullet"/>
      <w:lvlText w:val="•"/>
      <w:lvlJc w:val="left"/>
      <w:pPr>
        <w:ind w:left="1785" w:hanging="708"/>
      </w:pPr>
      <w:rPr>
        <w:rFonts w:ascii="Times New Roman" w:eastAsia="HG Mincho Light J" w:hAnsi="Times New Roman" w:cs="Times New Roman"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15:restartNumberingAfterBreak="0">
    <w:nsid w:val="403E4469"/>
    <w:multiLevelType w:val="hybridMultilevel"/>
    <w:tmpl w:val="17742BA4"/>
    <w:lvl w:ilvl="0" w:tplc="48D6AA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51487"/>
    <w:multiLevelType w:val="hybridMultilevel"/>
    <w:tmpl w:val="7666B9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523DEF"/>
    <w:multiLevelType w:val="hybridMultilevel"/>
    <w:tmpl w:val="1C88E75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49D24056"/>
    <w:multiLevelType w:val="hybridMultilevel"/>
    <w:tmpl w:val="E9EA3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37427C"/>
    <w:multiLevelType w:val="hybridMultilevel"/>
    <w:tmpl w:val="A1EEA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544B46"/>
    <w:multiLevelType w:val="hybridMultilevel"/>
    <w:tmpl w:val="48262EB4"/>
    <w:lvl w:ilvl="0" w:tplc="08920E80">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3B7E78"/>
    <w:multiLevelType w:val="hybridMultilevel"/>
    <w:tmpl w:val="F6B2B378"/>
    <w:lvl w:ilvl="0" w:tplc="8D78CBFA">
      <w:start w:val="1"/>
      <w:numFmt w:val="decimal"/>
      <w:lvlText w:val="%1."/>
      <w:lvlJc w:val="left"/>
      <w:pPr>
        <w:ind w:left="1429" w:hanging="360"/>
      </w:pPr>
      <w:rPr>
        <w:rFonts w:ascii="Times New Roman" w:hAnsi="Times New Roman" w:cs="Times New Roman" w:hint="default"/>
        <w:sz w:val="24"/>
        <w:szCs w:val="24"/>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58976A8"/>
    <w:multiLevelType w:val="hybridMultilevel"/>
    <w:tmpl w:val="39EEE6A4"/>
    <w:lvl w:ilvl="0" w:tplc="0415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A9353FA"/>
    <w:multiLevelType w:val="hybridMultilevel"/>
    <w:tmpl w:val="FE5CC320"/>
    <w:lvl w:ilvl="0" w:tplc="0415000B">
      <w:start w:val="1"/>
      <w:numFmt w:val="bullet"/>
      <w:lvlText w:val=""/>
      <w:lvlJc w:val="left"/>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10D58DA"/>
    <w:multiLevelType w:val="hybridMultilevel"/>
    <w:tmpl w:val="D780D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F22D3D"/>
    <w:multiLevelType w:val="hybridMultilevel"/>
    <w:tmpl w:val="557E17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5271E2F"/>
    <w:multiLevelType w:val="hybridMultilevel"/>
    <w:tmpl w:val="7B46883E"/>
    <w:lvl w:ilvl="0" w:tplc="DA4E8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026256"/>
    <w:multiLevelType w:val="hybridMultilevel"/>
    <w:tmpl w:val="8ACC39F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16cid:durableId="199317433">
    <w:abstractNumId w:val="12"/>
  </w:num>
  <w:num w:numId="2" w16cid:durableId="1848707579">
    <w:abstractNumId w:val="22"/>
  </w:num>
  <w:num w:numId="3" w16cid:durableId="170606087">
    <w:abstractNumId w:val="7"/>
  </w:num>
  <w:num w:numId="4" w16cid:durableId="690839118">
    <w:abstractNumId w:val="21"/>
  </w:num>
  <w:num w:numId="5" w16cid:durableId="225997765">
    <w:abstractNumId w:val="13"/>
  </w:num>
  <w:num w:numId="6" w16cid:durableId="804664241">
    <w:abstractNumId w:val="20"/>
  </w:num>
  <w:num w:numId="7" w16cid:durableId="1326320460">
    <w:abstractNumId w:val="15"/>
  </w:num>
  <w:num w:numId="8" w16cid:durableId="2004311696">
    <w:abstractNumId w:val="26"/>
  </w:num>
  <w:num w:numId="9" w16cid:durableId="1750883292">
    <w:abstractNumId w:val="0"/>
  </w:num>
  <w:num w:numId="10" w16cid:durableId="1508866416">
    <w:abstractNumId w:val="28"/>
  </w:num>
  <w:num w:numId="11" w16cid:durableId="773521994">
    <w:abstractNumId w:val="17"/>
  </w:num>
  <w:num w:numId="12" w16cid:durableId="2088381988">
    <w:abstractNumId w:val="25"/>
  </w:num>
  <w:num w:numId="13" w16cid:durableId="1001275514">
    <w:abstractNumId w:val="18"/>
  </w:num>
  <w:num w:numId="14" w16cid:durableId="1644653115">
    <w:abstractNumId w:val="2"/>
  </w:num>
  <w:num w:numId="15" w16cid:durableId="1519461485">
    <w:abstractNumId w:val="5"/>
  </w:num>
  <w:num w:numId="16" w16cid:durableId="888683005">
    <w:abstractNumId w:val="8"/>
  </w:num>
  <w:num w:numId="17" w16cid:durableId="1209418287">
    <w:abstractNumId w:val="9"/>
  </w:num>
  <w:num w:numId="18" w16cid:durableId="1255675566">
    <w:abstractNumId w:val="24"/>
  </w:num>
  <w:num w:numId="19" w16cid:durableId="2134788463">
    <w:abstractNumId w:val="27"/>
  </w:num>
  <w:num w:numId="20" w16cid:durableId="373507104">
    <w:abstractNumId w:val="10"/>
  </w:num>
  <w:num w:numId="21" w16cid:durableId="370082471">
    <w:abstractNumId w:val="3"/>
  </w:num>
  <w:num w:numId="22" w16cid:durableId="1495222929">
    <w:abstractNumId w:val="14"/>
  </w:num>
  <w:num w:numId="23" w16cid:durableId="803234557">
    <w:abstractNumId w:val="11"/>
  </w:num>
  <w:num w:numId="24" w16cid:durableId="1617251816">
    <w:abstractNumId w:val="16"/>
  </w:num>
  <w:num w:numId="25" w16cid:durableId="706562769">
    <w:abstractNumId w:val="4"/>
  </w:num>
  <w:num w:numId="26" w16cid:durableId="2028868712">
    <w:abstractNumId w:val="1"/>
  </w:num>
  <w:num w:numId="27" w16cid:durableId="1667512535">
    <w:abstractNumId w:val="19"/>
  </w:num>
  <w:num w:numId="28" w16cid:durableId="1269315345">
    <w:abstractNumId w:val="6"/>
  </w:num>
  <w:num w:numId="29" w16cid:durableId="19356238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632"/>
    <w:rsid w:val="000158E2"/>
    <w:rsid w:val="00020969"/>
    <w:rsid w:val="000352D4"/>
    <w:rsid w:val="000455A1"/>
    <w:rsid w:val="000503D0"/>
    <w:rsid w:val="000534E6"/>
    <w:rsid w:val="000560F1"/>
    <w:rsid w:val="00083A2C"/>
    <w:rsid w:val="0008694F"/>
    <w:rsid w:val="00091A98"/>
    <w:rsid w:val="0009724A"/>
    <w:rsid w:val="000A1E01"/>
    <w:rsid w:val="000B5E28"/>
    <w:rsid w:val="000C3BB2"/>
    <w:rsid w:val="000C5C3B"/>
    <w:rsid w:val="000D6E9F"/>
    <w:rsid w:val="000D7AFA"/>
    <w:rsid w:val="000F2E05"/>
    <w:rsid w:val="000F6E38"/>
    <w:rsid w:val="0010341C"/>
    <w:rsid w:val="00113DCE"/>
    <w:rsid w:val="00120189"/>
    <w:rsid w:val="00120370"/>
    <w:rsid w:val="00121354"/>
    <w:rsid w:val="00147DA2"/>
    <w:rsid w:val="00150AEB"/>
    <w:rsid w:val="00172C84"/>
    <w:rsid w:val="0018082B"/>
    <w:rsid w:val="00184812"/>
    <w:rsid w:val="00191131"/>
    <w:rsid w:val="001A563C"/>
    <w:rsid w:val="001B0087"/>
    <w:rsid w:val="001B3015"/>
    <w:rsid w:val="001C2F1D"/>
    <w:rsid w:val="001C5531"/>
    <w:rsid w:val="001D077D"/>
    <w:rsid w:val="001E2135"/>
    <w:rsid w:val="001E701D"/>
    <w:rsid w:val="00216841"/>
    <w:rsid w:val="00227935"/>
    <w:rsid w:val="00235246"/>
    <w:rsid w:val="00237058"/>
    <w:rsid w:val="0025113B"/>
    <w:rsid w:val="00251219"/>
    <w:rsid w:val="0025339E"/>
    <w:rsid w:val="00256674"/>
    <w:rsid w:val="002720C9"/>
    <w:rsid w:val="0027376C"/>
    <w:rsid w:val="002B66DF"/>
    <w:rsid w:val="002C00CC"/>
    <w:rsid w:val="002D3283"/>
    <w:rsid w:val="002D4ED7"/>
    <w:rsid w:val="002D5913"/>
    <w:rsid w:val="00300B53"/>
    <w:rsid w:val="00311197"/>
    <w:rsid w:val="00314E80"/>
    <w:rsid w:val="00321E9D"/>
    <w:rsid w:val="00344791"/>
    <w:rsid w:val="003547BC"/>
    <w:rsid w:val="00363D01"/>
    <w:rsid w:val="00377C9C"/>
    <w:rsid w:val="00381379"/>
    <w:rsid w:val="00384E3C"/>
    <w:rsid w:val="00386386"/>
    <w:rsid w:val="00386CD6"/>
    <w:rsid w:val="00390FEB"/>
    <w:rsid w:val="003910C0"/>
    <w:rsid w:val="00391456"/>
    <w:rsid w:val="003A30D6"/>
    <w:rsid w:val="003A5FC1"/>
    <w:rsid w:val="003F7092"/>
    <w:rsid w:val="0041267F"/>
    <w:rsid w:val="00416ADE"/>
    <w:rsid w:val="00427CB3"/>
    <w:rsid w:val="00430C60"/>
    <w:rsid w:val="00446E6B"/>
    <w:rsid w:val="00446FBD"/>
    <w:rsid w:val="00447389"/>
    <w:rsid w:val="0045111E"/>
    <w:rsid w:val="00451FE2"/>
    <w:rsid w:val="0046276E"/>
    <w:rsid w:val="00463484"/>
    <w:rsid w:val="00467E14"/>
    <w:rsid w:val="0047120A"/>
    <w:rsid w:val="00487ED3"/>
    <w:rsid w:val="00490A73"/>
    <w:rsid w:val="004A20DC"/>
    <w:rsid w:val="004A2C02"/>
    <w:rsid w:val="004C2ACF"/>
    <w:rsid w:val="004D7057"/>
    <w:rsid w:val="004E0C43"/>
    <w:rsid w:val="004E29D0"/>
    <w:rsid w:val="004E3CF4"/>
    <w:rsid w:val="0050101E"/>
    <w:rsid w:val="0050639F"/>
    <w:rsid w:val="0051208F"/>
    <w:rsid w:val="00515F24"/>
    <w:rsid w:val="005366A3"/>
    <w:rsid w:val="00536F2D"/>
    <w:rsid w:val="00540531"/>
    <w:rsid w:val="005458F3"/>
    <w:rsid w:val="00546986"/>
    <w:rsid w:val="0055663C"/>
    <w:rsid w:val="005566C9"/>
    <w:rsid w:val="005716DE"/>
    <w:rsid w:val="00571996"/>
    <w:rsid w:val="00595DEF"/>
    <w:rsid w:val="005970E7"/>
    <w:rsid w:val="005B4E3F"/>
    <w:rsid w:val="005C0B3B"/>
    <w:rsid w:val="005D7286"/>
    <w:rsid w:val="005E52B0"/>
    <w:rsid w:val="005F6F6C"/>
    <w:rsid w:val="005F738A"/>
    <w:rsid w:val="005F79BE"/>
    <w:rsid w:val="0060537B"/>
    <w:rsid w:val="006145BB"/>
    <w:rsid w:val="00621E2E"/>
    <w:rsid w:val="00622D82"/>
    <w:rsid w:val="00632949"/>
    <w:rsid w:val="006359E2"/>
    <w:rsid w:val="00641A0E"/>
    <w:rsid w:val="00645BFC"/>
    <w:rsid w:val="00667CD8"/>
    <w:rsid w:val="00676EB4"/>
    <w:rsid w:val="006842BA"/>
    <w:rsid w:val="00691420"/>
    <w:rsid w:val="00691EB4"/>
    <w:rsid w:val="006956C2"/>
    <w:rsid w:val="006B497B"/>
    <w:rsid w:val="006C795A"/>
    <w:rsid w:val="006D6890"/>
    <w:rsid w:val="006D71B7"/>
    <w:rsid w:val="006D7DEE"/>
    <w:rsid w:val="00734ED5"/>
    <w:rsid w:val="00741232"/>
    <w:rsid w:val="007479CE"/>
    <w:rsid w:val="00752921"/>
    <w:rsid w:val="007565AF"/>
    <w:rsid w:val="007645AB"/>
    <w:rsid w:val="00772083"/>
    <w:rsid w:val="00786F31"/>
    <w:rsid w:val="007C292A"/>
    <w:rsid w:val="007C45EF"/>
    <w:rsid w:val="007D6216"/>
    <w:rsid w:val="007D76BB"/>
    <w:rsid w:val="007E04DE"/>
    <w:rsid w:val="007F2A14"/>
    <w:rsid w:val="007F5635"/>
    <w:rsid w:val="007F60D9"/>
    <w:rsid w:val="008130A8"/>
    <w:rsid w:val="008146DB"/>
    <w:rsid w:val="0083248A"/>
    <w:rsid w:val="0083309B"/>
    <w:rsid w:val="00835C8A"/>
    <w:rsid w:val="00836434"/>
    <w:rsid w:val="008374A9"/>
    <w:rsid w:val="00837E54"/>
    <w:rsid w:val="008422C0"/>
    <w:rsid w:val="0084387D"/>
    <w:rsid w:val="00855286"/>
    <w:rsid w:val="00856DF7"/>
    <w:rsid w:val="00857F23"/>
    <w:rsid w:val="008646D6"/>
    <w:rsid w:val="00870812"/>
    <w:rsid w:val="00875F7D"/>
    <w:rsid w:val="0088502A"/>
    <w:rsid w:val="0089037F"/>
    <w:rsid w:val="008924E7"/>
    <w:rsid w:val="00892E3E"/>
    <w:rsid w:val="008A3A1E"/>
    <w:rsid w:val="008A4BD3"/>
    <w:rsid w:val="008C3AE4"/>
    <w:rsid w:val="008C3E49"/>
    <w:rsid w:val="008D2D89"/>
    <w:rsid w:val="008E09DE"/>
    <w:rsid w:val="008E4559"/>
    <w:rsid w:val="008F5E4F"/>
    <w:rsid w:val="008F6EAF"/>
    <w:rsid w:val="009054EB"/>
    <w:rsid w:val="00911D2E"/>
    <w:rsid w:val="00922D26"/>
    <w:rsid w:val="009357A4"/>
    <w:rsid w:val="00941BDA"/>
    <w:rsid w:val="00960314"/>
    <w:rsid w:val="00965492"/>
    <w:rsid w:val="00975C69"/>
    <w:rsid w:val="009A2DEA"/>
    <w:rsid w:val="009A5BAF"/>
    <w:rsid w:val="009A758E"/>
    <w:rsid w:val="009B30E3"/>
    <w:rsid w:val="009E099A"/>
    <w:rsid w:val="009E3C0E"/>
    <w:rsid w:val="009E7708"/>
    <w:rsid w:val="009F3027"/>
    <w:rsid w:val="00A00031"/>
    <w:rsid w:val="00A0065F"/>
    <w:rsid w:val="00A100B3"/>
    <w:rsid w:val="00A13922"/>
    <w:rsid w:val="00A1675B"/>
    <w:rsid w:val="00A17421"/>
    <w:rsid w:val="00A23B1B"/>
    <w:rsid w:val="00A24742"/>
    <w:rsid w:val="00A746B4"/>
    <w:rsid w:val="00A81A82"/>
    <w:rsid w:val="00A90D6A"/>
    <w:rsid w:val="00A91653"/>
    <w:rsid w:val="00A91654"/>
    <w:rsid w:val="00A9240B"/>
    <w:rsid w:val="00AD5A33"/>
    <w:rsid w:val="00AE6AB2"/>
    <w:rsid w:val="00B14982"/>
    <w:rsid w:val="00B31BD9"/>
    <w:rsid w:val="00B50BD8"/>
    <w:rsid w:val="00B63E4F"/>
    <w:rsid w:val="00B76C53"/>
    <w:rsid w:val="00B84DD1"/>
    <w:rsid w:val="00B903C0"/>
    <w:rsid w:val="00B94AB3"/>
    <w:rsid w:val="00B94DE7"/>
    <w:rsid w:val="00B95DA1"/>
    <w:rsid w:val="00BB7D8D"/>
    <w:rsid w:val="00BD58B0"/>
    <w:rsid w:val="00C21430"/>
    <w:rsid w:val="00C35370"/>
    <w:rsid w:val="00C359A2"/>
    <w:rsid w:val="00C45032"/>
    <w:rsid w:val="00C4577C"/>
    <w:rsid w:val="00C53234"/>
    <w:rsid w:val="00C54E01"/>
    <w:rsid w:val="00C60FEA"/>
    <w:rsid w:val="00C61DFC"/>
    <w:rsid w:val="00C66EE2"/>
    <w:rsid w:val="00C8101B"/>
    <w:rsid w:val="00C91B8E"/>
    <w:rsid w:val="00C93711"/>
    <w:rsid w:val="00CA1B3E"/>
    <w:rsid w:val="00CB6FBB"/>
    <w:rsid w:val="00CC1D96"/>
    <w:rsid w:val="00CC6E47"/>
    <w:rsid w:val="00CE0E88"/>
    <w:rsid w:val="00CE1DAE"/>
    <w:rsid w:val="00D028F6"/>
    <w:rsid w:val="00D10D49"/>
    <w:rsid w:val="00D360D2"/>
    <w:rsid w:val="00D44558"/>
    <w:rsid w:val="00D6446F"/>
    <w:rsid w:val="00D66E69"/>
    <w:rsid w:val="00D766DD"/>
    <w:rsid w:val="00D93DC9"/>
    <w:rsid w:val="00DB2EB7"/>
    <w:rsid w:val="00DB627E"/>
    <w:rsid w:val="00DC51AF"/>
    <w:rsid w:val="00DD6823"/>
    <w:rsid w:val="00DE1A4F"/>
    <w:rsid w:val="00E00FA7"/>
    <w:rsid w:val="00E0118F"/>
    <w:rsid w:val="00E153A5"/>
    <w:rsid w:val="00E20850"/>
    <w:rsid w:val="00E23728"/>
    <w:rsid w:val="00E23A56"/>
    <w:rsid w:val="00E25B91"/>
    <w:rsid w:val="00E36D91"/>
    <w:rsid w:val="00E423BD"/>
    <w:rsid w:val="00E43491"/>
    <w:rsid w:val="00E4714B"/>
    <w:rsid w:val="00E56330"/>
    <w:rsid w:val="00E611F6"/>
    <w:rsid w:val="00E67493"/>
    <w:rsid w:val="00E80632"/>
    <w:rsid w:val="00EA2247"/>
    <w:rsid w:val="00EB09EC"/>
    <w:rsid w:val="00EC2F6E"/>
    <w:rsid w:val="00EE0625"/>
    <w:rsid w:val="00EF0D90"/>
    <w:rsid w:val="00F01385"/>
    <w:rsid w:val="00F1235C"/>
    <w:rsid w:val="00F1617B"/>
    <w:rsid w:val="00F270D4"/>
    <w:rsid w:val="00F377D9"/>
    <w:rsid w:val="00F44727"/>
    <w:rsid w:val="00F57B43"/>
    <w:rsid w:val="00F85E20"/>
    <w:rsid w:val="00F942B3"/>
    <w:rsid w:val="00F942F0"/>
    <w:rsid w:val="00FA3260"/>
    <w:rsid w:val="00FB4595"/>
    <w:rsid w:val="00FC52BB"/>
    <w:rsid w:val="00FE2F70"/>
    <w:rsid w:val="00FE38C1"/>
    <w:rsid w:val="00FF4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2DA9"/>
  <w15:docId w15:val="{DADE239D-3086-48A1-A63C-321DF5B3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632"/>
    <w:pPr>
      <w:spacing w:after="0" w:line="240" w:lineRule="auto"/>
    </w:pPr>
    <w:rPr>
      <w:rFonts w:ascii="Times New Roman" w:eastAsia="Batang"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80632"/>
    <w:pPr>
      <w:jc w:val="both"/>
    </w:pPr>
  </w:style>
  <w:style w:type="character" w:customStyle="1" w:styleId="TekstpodstawowyZnak">
    <w:name w:val="Tekst podstawowy Znak"/>
    <w:basedOn w:val="Domylnaczcionkaakapitu"/>
    <w:link w:val="Tekstpodstawowy"/>
    <w:rsid w:val="00E80632"/>
    <w:rPr>
      <w:rFonts w:ascii="Times New Roman" w:eastAsia="Batang" w:hAnsi="Times New Roman" w:cs="Times New Roman"/>
      <w:sz w:val="24"/>
      <w:szCs w:val="24"/>
      <w:lang w:eastAsia="pl-PL"/>
    </w:rPr>
  </w:style>
  <w:style w:type="paragraph" w:styleId="Stopka">
    <w:name w:val="footer"/>
    <w:basedOn w:val="Normalny"/>
    <w:link w:val="StopkaZnak"/>
    <w:rsid w:val="00E80632"/>
    <w:pPr>
      <w:tabs>
        <w:tab w:val="center" w:pos="4536"/>
        <w:tab w:val="right" w:pos="9072"/>
      </w:tabs>
    </w:pPr>
  </w:style>
  <w:style w:type="character" w:customStyle="1" w:styleId="StopkaZnak">
    <w:name w:val="Stopka Znak"/>
    <w:basedOn w:val="Domylnaczcionkaakapitu"/>
    <w:link w:val="Stopka"/>
    <w:rsid w:val="00E80632"/>
    <w:rPr>
      <w:rFonts w:ascii="Times New Roman" w:eastAsia="Batang" w:hAnsi="Times New Roman" w:cs="Times New Roman"/>
      <w:sz w:val="24"/>
      <w:szCs w:val="24"/>
      <w:lang w:eastAsia="pl-PL"/>
    </w:rPr>
  </w:style>
  <w:style w:type="character" w:styleId="Numerstrony">
    <w:name w:val="page number"/>
    <w:basedOn w:val="Domylnaczcionkaakapitu"/>
    <w:rsid w:val="00E80632"/>
  </w:style>
  <w:style w:type="paragraph" w:styleId="Akapitzlist">
    <w:name w:val="List Paragraph"/>
    <w:basedOn w:val="Normalny"/>
    <w:uiPriority w:val="34"/>
    <w:qFormat/>
    <w:rsid w:val="00E80632"/>
    <w:pPr>
      <w:suppressAutoHyphens/>
      <w:spacing w:after="200" w:line="276" w:lineRule="auto"/>
      <w:ind w:left="720"/>
    </w:pPr>
    <w:rPr>
      <w:rFonts w:ascii="Calibri" w:eastAsia="Calibri" w:hAnsi="Calibri"/>
      <w:sz w:val="22"/>
      <w:szCs w:val="22"/>
      <w:lang w:eastAsia="ar-SA"/>
    </w:rPr>
  </w:style>
  <w:style w:type="paragraph" w:customStyle="1" w:styleId="Tekstpodstawowywcity22">
    <w:name w:val="Tekst podstawowy wcięty 22"/>
    <w:basedOn w:val="Normalny"/>
    <w:rsid w:val="00E80632"/>
    <w:pPr>
      <w:suppressAutoHyphens/>
      <w:spacing w:before="280" w:after="280"/>
    </w:pPr>
    <w:rPr>
      <w:rFonts w:eastAsia="Times New Roman"/>
      <w:lang w:eastAsia="zh-CN"/>
    </w:rPr>
  </w:style>
  <w:style w:type="paragraph" w:styleId="Tekstdymka">
    <w:name w:val="Balloon Text"/>
    <w:basedOn w:val="Normalny"/>
    <w:link w:val="TekstdymkaZnak"/>
    <w:uiPriority w:val="99"/>
    <w:semiHidden/>
    <w:unhideWhenUsed/>
    <w:rsid w:val="00FA3260"/>
    <w:rPr>
      <w:rFonts w:ascii="Tahoma" w:hAnsi="Tahoma" w:cs="Tahoma"/>
      <w:sz w:val="16"/>
      <w:szCs w:val="16"/>
    </w:rPr>
  </w:style>
  <w:style w:type="character" w:customStyle="1" w:styleId="TekstdymkaZnak">
    <w:name w:val="Tekst dymka Znak"/>
    <w:basedOn w:val="Domylnaczcionkaakapitu"/>
    <w:link w:val="Tekstdymka"/>
    <w:uiPriority w:val="99"/>
    <w:semiHidden/>
    <w:rsid w:val="00FA3260"/>
    <w:rPr>
      <w:rFonts w:ascii="Tahoma" w:eastAsia="Batang"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r>
              <a:rPr lang="pl-PL" sz="1100" b="1" i="1"/>
              <a:t>Liczba</a:t>
            </a:r>
            <a:r>
              <a:rPr lang="pl-PL" sz="1100" b="1" i="1" baseline="0"/>
              <a:t> kontroli z podziałem na komórki organizacyjne</a:t>
            </a:r>
            <a:endParaRPr lang="pl-PL" sz="1100" b="1" i="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FFC000"/>
              </a:solidFill>
              <a:ln>
                <a:noFill/>
              </a:ln>
              <a:effectLst/>
              <a:sp3d/>
            </c:spPr>
            <c:extLst>
              <c:ext xmlns:c16="http://schemas.microsoft.com/office/drawing/2014/chart" uri="{C3380CC4-5D6E-409C-BE32-E72D297353CC}">
                <c16:uniqueId val="{00000001-C7DC-4731-8F3D-B88FF09987FF}"/>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3-C7DC-4731-8F3D-B88FF09987FF}"/>
              </c:ext>
            </c:extLst>
          </c:dPt>
          <c:dPt>
            <c:idx val="3"/>
            <c:invertIfNegative val="0"/>
            <c:bubble3D val="0"/>
            <c:spPr>
              <a:solidFill>
                <a:srgbClr val="7030A0"/>
              </a:solidFill>
              <a:ln>
                <a:noFill/>
              </a:ln>
              <a:effectLst/>
              <a:sp3d/>
            </c:spPr>
            <c:extLst>
              <c:ext xmlns:c16="http://schemas.microsoft.com/office/drawing/2014/chart" uri="{C3380CC4-5D6E-409C-BE32-E72D297353CC}">
                <c16:uniqueId val="{00000005-C7DC-4731-8F3D-B88FF09987F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Arkusz1!$E$37:$E$40</c:f>
              <c:strCache>
                <c:ptCount val="4"/>
                <c:pt idx="0">
                  <c:v>DŁ</c:v>
                </c:pt>
                <c:pt idx="1">
                  <c:v>DS.</c:v>
                </c:pt>
                <c:pt idx="2">
                  <c:v>NP.</c:v>
                </c:pt>
                <c:pt idx="3">
                  <c:v>NU</c:v>
                </c:pt>
              </c:strCache>
            </c:strRef>
          </c:cat>
          <c:val>
            <c:numRef>
              <c:f>Arkusz1!$F$37:$F$40</c:f>
              <c:numCache>
                <c:formatCode>General</c:formatCode>
                <c:ptCount val="4"/>
                <c:pt idx="0">
                  <c:v>246</c:v>
                </c:pt>
                <c:pt idx="1">
                  <c:v>274</c:v>
                </c:pt>
                <c:pt idx="2">
                  <c:v>279</c:v>
                </c:pt>
                <c:pt idx="3">
                  <c:v>285</c:v>
                </c:pt>
              </c:numCache>
            </c:numRef>
          </c:val>
          <c:extLst>
            <c:ext xmlns:c16="http://schemas.microsoft.com/office/drawing/2014/chart" uri="{C3380CC4-5D6E-409C-BE32-E72D297353CC}">
              <c16:uniqueId val="{00000006-C7DC-4731-8F3D-B88FF09987FF}"/>
            </c:ext>
          </c:extLst>
        </c:ser>
        <c:dLbls>
          <c:showLegendKey val="0"/>
          <c:showVal val="1"/>
          <c:showCatName val="0"/>
          <c:showSerName val="0"/>
          <c:showPercent val="0"/>
          <c:showBubbleSize val="0"/>
        </c:dLbls>
        <c:gapWidth val="150"/>
        <c:shape val="box"/>
        <c:axId val="210701696"/>
        <c:axId val="217582592"/>
        <c:axId val="0"/>
      </c:bar3DChart>
      <c:catAx>
        <c:axId val="210701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217582592"/>
        <c:crosses val="autoZero"/>
        <c:auto val="1"/>
        <c:lblAlgn val="ctr"/>
        <c:lblOffset val="100"/>
        <c:noMultiLvlLbl val="0"/>
      </c:catAx>
      <c:valAx>
        <c:axId val="21758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0701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i="1">
                <a:effectLst/>
              </a:rPr>
              <a:t>Kontrole artykułów nieżywnościowych</a:t>
            </a:r>
            <a:endParaRPr lang="pl-PL" sz="1100" i="1">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Produkty niekwestionowane </c:v>
                </c:pt>
              </c:strCache>
            </c:strRef>
          </c:tx>
          <c:spPr>
            <a:solidFill>
              <a:schemeClr val="accent1"/>
            </a:solidFill>
            <a:ln>
              <a:noFill/>
            </a:ln>
            <a:effectLst/>
            <a:sp3d/>
          </c:spPr>
          <c:invertIfNegative val="0"/>
          <c:dLbls>
            <c:dLbl>
              <c:idx val="0"/>
              <c:layout>
                <c:manualLayout>
                  <c:x val="3.1746031746031744E-2"/>
                  <c:y val="-2.58899676375404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5A-484E-8F2C-5208615881D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Arkusz1!$B$2</c:f>
              <c:numCache>
                <c:formatCode>General</c:formatCode>
                <c:ptCount val="1"/>
                <c:pt idx="0">
                  <c:v>241</c:v>
                </c:pt>
              </c:numCache>
            </c:numRef>
          </c:val>
          <c:extLst>
            <c:ext xmlns:c16="http://schemas.microsoft.com/office/drawing/2014/chart" uri="{C3380CC4-5D6E-409C-BE32-E72D297353CC}">
              <c16:uniqueId val="{00000000-9448-4298-B0A0-68F4F67544BA}"/>
            </c:ext>
          </c:extLst>
        </c:ser>
        <c:ser>
          <c:idx val="1"/>
          <c:order val="1"/>
          <c:tx>
            <c:strRef>
              <c:f>Arkusz1!$C$1</c:f>
              <c:strCache>
                <c:ptCount val="1"/>
                <c:pt idx="0">
                  <c:v>Produkty zakwestionowane</c:v>
                </c:pt>
              </c:strCache>
            </c:strRef>
          </c:tx>
          <c:spPr>
            <a:solidFill>
              <a:schemeClr val="accent2"/>
            </a:solidFill>
            <a:ln>
              <a:noFill/>
            </a:ln>
            <a:effectLst/>
            <a:sp3d/>
          </c:spPr>
          <c:invertIfNegative val="0"/>
          <c:dLbls>
            <c:dLbl>
              <c:idx val="0"/>
              <c:layout>
                <c:manualLayout>
                  <c:x val="4.7619047619047616E-2"/>
                  <c:y val="-2.1574973031283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5A-484E-8F2C-5208615881D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Arkusz1!$C$2</c:f>
              <c:numCache>
                <c:formatCode>General</c:formatCode>
                <c:ptCount val="1"/>
                <c:pt idx="0">
                  <c:v>113</c:v>
                </c:pt>
              </c:numCache>
            </c:numRef>
          </c:val>
          <c:extLst>
            <c:ext xmlns:c16="http://schemas.microsoft.com/office/drawing/2014/chart" uri="{C3380CC4-5D6E-409C-BE32-E72D297353CC}">
              <c16:uniqueId val="{00000001-9448-4298-B0A0-68F4F67544BA}"/>
            </c:ext>
          </c:extLst>
        </c:ser>
        <c:dLbls>
          <c:showLegendKey val="0"/>
          <c:showVal val="0"/>
          <c:showCatName val="0"/>
          <c:showSerName val="0"/>
          <c:showPercent val="0"/>
          <c:showBubbleSize val="0"/>
        </c:dLbls>
        <c:gapWidth val="150"/>
        <c:shape val="box"/>
        <c:axId val="293972992"/>
        <c:axId val="293978880"/>
        <c:axId val="0"/>
      </c:bar3DChart>
      <c:catAx>
        <c:axId val="293972992"/>
        <c:scaling>
          <c:orientation val="minMax"/>
        </c:scaling>
        <c:delete val="1"/>
        <c:axPos val="b"/>
        <c:numFmt formatCode="General" sourceLinked="1"/>
        <c:majorTickMark val="none"/>
        <c:minorTickMark val="none"/>
        <c:tickLblPos val="nextTo"/>
        <c:crossAx val="293978880"/>
        <c:crosses val="autoZero"/>
        <c:auto val="1"/>
        <c:lblAlgn val="ctr"/>
        <c:lblOffset val="100"/>
        <c:noMultiLvlLbl val="0"/>
      </c:catAx>
      <c:valAx>
        <c:axId val="293978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a:t>
                </a:r>
                <a:r>
                  <a:rPr lang="pl-PL" baseline="0"/>
                  <a:t> produktów skontrolowanych</a:t>
                </a:r>
                <a:endParaRPr lang="pl-P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39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i="1">
                <a:effectLst/>
              </a:rPr>
              <a:t>Kontrola</a:t>
            </a:r>
            <a:r>
              <a:rPr lang="pl-PL" sz="1100" b="1" i="1" baseline="0">
                <a:effectLst/>
              </a:rPr>
              <a:t> usług</a:t>
            </a:r>
            <a:endParaRPr lang="pl-PL" sz="1100" b="1" i="1">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Produkty niekwestionowane</c:v>
                </c:pt>
              </c:strCache>
            </c:strRef>
          </c:tx>
          <c:spPr>
            <a:solidFill>
              <a:schemeClr val="accent1"/>
            </a:solidFill>
            <a:ln>
              <a:noFill/>
            </a:ln>
            <a:effectLst/>
            <a:sp3d/>
          </c:spPr>
          <c:invertIfNegative val="0"/>
          <c:dLbls>
            <c:dLbl>
              <c:idx val="0"/>
              <c:layout>
                <c:manualLayout>
                  <c:x val="3.1746031746031744E-2"/>
                  <c:y val="-1.4184397163120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2A-4A49-99C7-503F197E062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Arkusz1!$B$2</c:f>
              <c:numCache>
                <c:formatCode>General</c:formatCode>
                <c:ptCount val="1"/>
                <c:pt idx="0">
                  <c:v>3787</c:v>
                </c:pt>
              </c:numCache>
            </c:numRef>
          </c:val>
          <c:extLst>
            <c:ext xmlns:c16="http://schemas.microsoft.com/office/drawing/2014/chart" uri="{C3380CC4-5D6E-409C-BE32-E72D297353CC}">
              <c16:uniqueId val="{00000000-8F1A-49FE-9946-5DDFB8A263DA}"/>
            </c:ext>
          </c:extLst>
        </c:ser>
        <c:ser>
          <c:idx val="1"/>
          <c:order val="1"/>
          <c:tx>
            <c:strRef>
              <c:f>Arkusz1!$C$1</c:f>
              <c:strCache>
                <c:ptCount val="1"/>
                <c:pt idx="0">
                  <c:v>Produkty zakwestionowane</c:v>
                </c:pt>
              </c:strCache>
            </c:strRef>
          </c:tx>
          <c:spPr>
            <a:solidFill>
              <a:schemeClr val="accent2"/>
            </a:solidFill>
            <a:ln>
              <a:noFill/>
            </a:ln>
            <a:effectLst/>
            <a:sp3d/>
          </c:spPr>
          <c:invertIfNegative val="0"/>
          <c:dLbls>
            <c:dLbl>
              <c:idx val="0"/>
              <c:layout>
                <c:manualLayout>
                  <c:x val="4.2328042328042326E-2"/>
                  <c:y val="-2.8368794326241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2A-4A49-99C7-503F197E062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Arkusz1!$C$2</c:f>
              <c:numCache>
                <c:formatCode>General</c:formatCode>
                <c:ptCount val="1"/>
                <c:pt idx="0">
                  <c:v>1092</c:v>
                </c:pt>
              </c:numCache>
            </c:numRef>
          </c:val>
          <c:extLst>
            <c:ext xmlns:c16="http://schemas.microsoft.com/office/drawing/2014/chart" uri="{C3380CC4-5D6E-409C-BE32-E72D297353CC}">
              <c16:uniqueId val="{00000001-8F1A-49FE-9946-5DDFB8A263DA}"/>
            </c:ext>
          </c:extLst>
        </c:ser>
        <c:dLbls>
          <c:showLegendKey val="0"/>
          <c:showVal val="0"/>
          <c:showCatName val="0"/>
          <c:showSerName val="0"/>
          <c:showPercent val="0"/>
          <c:showBubbleSize val="0"/>
        </c:dLbls>
        <c:gapWidth val="150"/>
        <c:shape val="box"/>
        <c:axId val="294192256"/>
        <c:axId val="294193792"/>
        <c:axId val="0"/>
      </c:bar3DChart>
      <c:catAx>
        <c:axId val="294192256"/>
        <c:scaling>
          <c:orientation val="minMax"/>
        </c:scaling>
        <c:delete val="1"/>
        <c:axPos val="b"/>
        <c:numFmt formatCode="General" sourceLinked="1"/>
        <c:majorTickMark val="none"/>
        <c:minorTickMark val="none"/>
        <c:tickLblPos val="nextTo"/>
        <c:crossAx val="294193792"/>
        <c:crosses val="autoZero"/>
        <c:auto val="1"/>
        <c:lblAlgn val="ctr"/>
        <c:lblOffset val="100"/>
        <c:noMultiLvlLbl val="0"/>
      </c:catAx>
      <c:valAx>
        <c:axId val="29419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a:t>
                </a:r>
                <a:r>
                  <a:rPr lang="pl-PL" baseline="0"/>
                  <a:t> podmiotów skontrolowanych</a:t>
                </a:r>
                <a:endParaRPr lang="pl-P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19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Badania laboratoryjne</a:t>
            </a:r>
          </a:p>
        </c:rich>
      </c:tx>
      <c:overlay val="0"/>
      <c:spPr>
        <a:noFill/>
        <a:ln>
          <a:noFill/>
        </a:ln>
        <a:effectLst/>
      </c:spPr>
    </c:title>
    <c:autoTitleDeleted val="0"/>
    <c:view3D>
      <c:rotX val="1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106246719160105"/>
          <c:y val="0.1480590717299578"/>
          <c:w val="0.83045268432355046"/>
          <c:h val="0.53833914747998268"/>
        </c:manualLayout>
      </c:layout>
      <c:bar3DChart>
        <c:barDir val="col"/>
        <c:grouping val="clustered"/>
        <c:varyColors val="0"/>
        <c:ser>
          <c:idx val="0"/>
          <c:order val="0"/>
          <c:tx>
            <c:strRef>
              <c:f>Arkusz1!$B$1</c:f>
              <c:strCache>
                <c:ptCount val="1"/>
                <c:pt idx="0">
                  <c:v>Próbki skierowane do badań laboratoryjnych</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2022 rok</c:v>
                </c:pt>
                <c:pt idx="1">
                  <c:v>2021 rok</c:v>
                </c:pt>
              </c:strCache>
            </c:strRef>
          </c:cat>
          <c:val>
            <c:numRef>
              <c:f>Arkusz1!$B$2:$B$3</c:f>
              <c:numCache>
                <c:formatCode>General</c:formatCode>
                <c:ptCount val="2"/>
                <c:pt idx="0">
                  <c:v>68</c:v>
                </c:pt>
                <c:pt idx="1">
                  <c:v>62</c:v>
                </c:pt>
              </c:numCache>
            </c:numRef>
          </c:val>
          <c:extLst>
            <c:ext xmlns:c16="http://schemas.microsoft.com/office/drawing/2014/chart" uri="{C3380CC4-5D6E-409C-BE32-E72D297353CC}">
              <c16:uniqueId val="{00000000-C886-4BBB-9C5F-2F5E5504E7AA}"/>
            </c:ext>
          </c:extLst>
        </c:ser>
        <c:ser>
          <c:idx val="1"/>
          <c:order val="1"/>
          <c:tx>
            <c:strRef>
              <c:f>Arkusz1!$C$1</c:f>
              <c:strCache>
                <c:ptCount val="1"/>
                <c:pt idx="0">
                  <c:v>Próbki zakwestionowane w wyniku badań laboratoryjnych</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2022 rok</c:v>
                </c:pt>
                <c:pt idx="1">
                  <c:v>2021 rok</c:v>
                </c:pt>
              </c:strCache>
            </c:strRef>
          </c:cat>
          <c:val>
            <c:numRef>
              <c:f>Arkusz1!$C$2:$C$3</c:f>
              <c:numCache>
                <c:formatCode>General</c:formatCode>
                <c:ptCount val="2"/>
                <c:pt idx="0">
                  <c:v>21</c:v>
                </c:pt>
                <c:pt idx="1">
                  <c:v>19</c:v>
                </c:pt>
              </c:numCache>
            </c:numRef>
          </c:val>
          <c:extLst>
            <c:ext xmlns:c16="http://schemas.microsoft.com/office/drawing/2014/chart" uri="{C3380CC4-5D6E-409C-BE32-E72D297353CC}">
              <c16:uniqueId val="{00000001-C886-4BBB-9C5F-2F5E5504E7AA}"/>
            </c:ext>
          </c:extLst>
        </c:ser>
        <c:dLbls>
          <c:showLegendKey val="0"/>
          <c:showVal val="0"/>
          <c:showCatName val="0"/>
          <c:showSerName val="0"/>
          <c:showPercent val="0"/>
          <c:showBubbleSize val="0"/>
        </c:dLbls>
        <c:gapWidth val="219"/>
        <c:shape val="box"/>
        <c:axId val="294246656"/>
        <c:axId val="294264832"/>
        <c:axId val="0"/>
      </c:bar3DChart>
      <c:catAx>
        <c:axId val="29424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264832"/>
        <c:crosses val="autoZero"/>
        <c:auto val="1"/>
        <c:lblAlgn val="ctr"/>
        <c:lblOffset val="100"/>
        <c:noMultiLvlLbl val="0"/>
      </c:catAx>
      <c:valAx>
        <c:axId val="2942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246656"/>
        <c:crosses val="autoZero"/>
        <c:crossBetween val="between"/>
      </c:valAx>
      <c:spPr>
        <a:noFill/>
        <a:ln>
          <a:noFill/>
        </a:ln>
        <a:effectLst/>
      </c:spPr>
    </c:plotArea>
    <c:legend>
      <c:legendPos val="b"/>
      <c:layout>
        <c:manualLayout>
          <c:xMode val="edge"/>
          <c:yMode val="edge"/>
          <c:x val="0.12589756555659898"/>
          <c:y val="0.76851697459386203"/>
          <c:w val="0.79305706052798441"/>
          <c:h val="0.20969653303141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0" h="25400" prst="coolSlant"/>
      <a:bevelB w="12700"/>
    </a:sp3d>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Środki przeznaczone na badania laboratoryjne w zł</a:t>
            </a:r>
          </a:p>
        </c:rich>
      </c:tx>
      <c:layout>
        <c:manualLayout>
          <c:xMode val="edge"/>
          <c:yMode val="edge"/>
          <c:x val="0.14915109781019067"/>
          <c:y val="2.9520295202952029E-2"/>
        </c:manualLayout>
      </c:layout>
      <c:overlay val="0"/>
      <c:spPr>
        <a:noFill/>
        <a:ln>
          <a:noFill/>
        </a:ln>
        <a:effectLst/>
      </c:spPr>
    </c:title>
    <c:autoTitleDeleted val="0"/>
    <c:view3D>
      <c:rotX val="2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523559093858655"/>
          <c:y val="0.26269090909090909"/>
          <c:w val="0.76064386785600135"/>
          <c:h val="0.55271085659747077"/>
        </c:manualLayout>
      </c:layout>
      <c:bar3DChart>
        <c:barDir val="col"/>
        <c:grouping val="clustered"/>
        <c:varyColors val="0"/>
        <c:ser>
          <c:idx val="0"/>
          <c:order val="0"/>
          <c:tx>
            <c:strRef>
              <c:f>Arkusz1!$B$1</c:f>
              <c:strCache>
                <c:ptCount val="1"/>
                <c:pt idx="0">
                  <c:v>2022 rok</c:v>
                </c:pt>
              </c:strCache>
            </c:strRef>
          </c:tx>
          <c:spPr>
            <a:solidFill>
              <a:schemeClr val="accent5">
                <a:lumMod val="75000"/>
              </a:schemeClr>
            </a:solidFill>
            <a:ln>
              <a:noFill/>
            </a:ln>
            <a:effectLst/>
            <a:sp3d/>
          </c:spPr>
          <c:invertIfNegative val="0"/>
          <c:dLbls>
            <c:dLbl>
              <c:idx val="0"/>
              <c:layout>
                <c:manualLayout>
                  <c:x val="5.3691275167785234E-2"/>
                  <c:y val="-4.357298474945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15-4736-879F-24976895C0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Kwota</c:v>
                </c:pt>
              </c:strCache>
            </c:strRef>
          </c:cat>
          <c:val>
            <c:numRef>
              <c:f>Arkusz1!$B$2</c:f>
              <c:numCache>
                <c:formatCode>General</c:formatCode>
                <c:ptCount val="1"/>
                <c:pt idx="0">
                  <c:v>44566.59</c:v>
                </c:pt>
              </c:numCache>
            </c:numRef>
          </c:val>
          <c:extLst>
            <c:ext xmlns:c16="http://schemas.microsoft.com/office/drawing/2014/chart" uri="{C3380CC4-5D6E-409C-BE32-E72D297353CC}">
              <c16:uniqueId val="{00000001-3915-4736-879F-24976895C0A6}"/>
            </c:ext>
          </c:extLst>
        </c:ser>
        <c:ser>
          <c:idx val="1"/>
          <c:order val="1"/>
          <c:tx>
            <c:strRef>
              <c:f>Arkusz1!$C$1</c:f>
              <c:strCache>
                <c:ptCount val="1"/>
                <c:pt idx="0">
                  <c:v>2021 rok</c:v>
                </c:pt>
              </c:strCache>
            </c:strRef>
          </c:tx>
          <c:spPr>
            <a:solidFill>
              <a:schemeClr val="accent4">
                <a:lumMod val="60000"/>
                <a:lumOff val="40000"/>
              </a:schemeClr>
            </a:solidFill>
            <a:ln>
              <a:noFill/>
            </a:ln>
            <a:effectLst/>
            <a:sp3d/>
          </c:spPr>
          <c:invertIfNegative val="0"/>
          <c:dLbls>
            <c:dLbl>
              <c:idx val="0"/>
              <c:layout>
                <c:manualLayout>
                  <c:x val="4.9217002237136549E-2"/>
                  <c:y val="-3.9215686274509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15-4736-879F-24976895C0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Kwota</c:v>
                </c:pt>
              </c:strCache>
            </c:strRef>
          </c:cat>
          <c:val>
            <c:numRef>
              <c:f>Arkusz1!$C$2</c:f>
              <c:numCache>
                <c:formatCode>General</c:formatCode>
                <c:ptCount val="1"/>
                <c:pt idx="0">
                  <c:v>33529.660000000003</c:v>
                </c:pt>
              </c:numCache>
            </c:numRef>
          </c:val>
          <c:extLst>
            <c:ext xmlns:c16="http://schemas.microsoft.com/office/drawing/2014/chart" uri="{C3380CC4-5D6E-409C-BE32-E72D297353CC}">
              <c16:uniqueId val="{00000003-3915-4736-879F-24976895C0A6}"/>
            </c:ext>
          </c:extLst>
        </c:ser>
        <c:dLbls>
          <c:showLegendKey val="0"/>
          <c:showVal val="0"/>
          <c:showCatName val="0"/>
          <c:showSerName val="0"/>
          <c:showPercent val="0"/>
          <c:showBubbleSize val="0"/>
        </c:dLbls>
        <c:gapWidth val="150"/>
        <c:shape val="box"/>
        <c:axId val="294600704"/>
        <c:axId val="294602240"/>
        <c:axId val="0"/>
      </c:bar3DChart>
      <c:catAx>
        <c:axId val="294600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602240"/>
        <c:crosses val="autoZero"/>
        <c:auto val="1"/>
        <c:lblAlgn val="ctr"/>
        <c:lblOffset val="100"/>
        <c:noMultiLvlLbl val="0"/>
      </c:catAx>
      <c:valAx>
        <c:axId val="29460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4600704"/>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i="1"/>
              <a:t>Skuteczność pozasądowego rozwiązywania</a:t>
            </a:r>
            <a:r>
              <a:rPr lang="pl-PL" sz="1100" b="1" i="1" baseline="0"/>
              <a:t> sporów konsumenckich</a:t>
            </a:r>
            <a:r>
              <a:rPr lang="en-US" sz="1100" b="1" i="1"/>
              <a:t> </a:t>
            </a:r>
          </a:p>
        </c:rich>
      </c:tx>
      <c:layout>
        <c:manualLayout>
          <c:xMode val="edge"/>
          <c:yMode val="edge"/>
          <c:x val="0.15998315176986971"/>
          <c:y val="0"/>
        </c:manualLayout>
      </c:layout>
      <c:overlay val="0"/>
      <c:spPr>
        <a:noFill/>
        <a:ln>
          <a:noFill/>
        </a:ln>
        <a:effectLst/>
      </c:spPr>
    </c:title>
    <c:autoTitleDeleted val="0"/>
    <c:plotArea>
      <c:layout>
        <c:manualLayout>
          <c:layoutTarget val="inner"/>
          <c:xMode val="edge"/>
          <c:yMode val="edge"/>
          <c:x val="0.27072305151045306"/>
          <c:y val="0.23093763586300178"/>
          <c:w val="0.51003394845914529"/>
          <c:h val="0.4052110204015909"/>
        </c:manualLayout>
      </c:layout>
      <c:pieChart>
        <c:varyColors val="1"/>
        <c:ser>
          <c:idx val="0"/>
          <c:order val="0"/>
          <c:tx>
            <c:strRef>
              <c:f>Arkusz1!$B$1</c:f>
              <c:strCache>
                <c:ptCount val="1"/>
                <c:pt idx="0">
                  <c:v>Wynik pozasądowych postępowań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A1-4C77-8939-65ED678DC7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A1-4C77-8939-65ED678DC7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Wnioski zakończone pozytywnie dla konsumenta</c:v>
                </c:pt>
                <c:pt idx="1">
                  <c:v>Wnioski zakończone negatywnie dla konsumenta</c:v>
                </c:pt>
              </c:strCache>
            </c:strRef>
          </c:cat>
          <c:val>
            <c:numRef>
              <c:f>Arkusz1!$B$2:$B$3</c:f>
              <c:numCache>
                <c:formatCode>General</c:formatCode>
                <c:ptCount val="2"/>
                <c:pt idx="0">
                  <c:v>98</c:v>
                </c:pt>
                <c:pt idx="1">
                  <c:v>66</c:v>
                </c:pt>
              </c:numCache>
            </c:numRef>
          </c:val>
          <c:extLst>
            <c:ext xmlns:c16="http://schemas.microsoft.com/office/drawing/2014/chart" uri="{C3380CC4-5D6E-409C-BE32-E72D297353CC}">
              <c16:uniqueId val="{00000004-9AA1-4C77-8939-65ED678DC78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5092086462165205"/>
          <c:y val="0.7178994847866238"/>
          <c:w val="0.72904630164472684"/>
          <c:h val="0.212964712744240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i="1" baseline="0"/>
              <a:t>Wnioski kierowane do SSP</a:t>
            </a:r>
            <a:endParaRPr lang="pl-PL" sz="1100" b="1" i="1"/>
          </a:p>
        </c:rich>
      </c:tx>
      <c:overlay val="0"/>
      <c:spPr>
        <a:noFill/>
        <a:ln>
          <a:noFill/>
        </a:ln>
        <a:effectLst/>
      </c:spPr>
    </c:title>
    <c:autoTitleDeleted val="0"/>
    <c:plotArea>
      <c:layout>
        <c:manualLayout>
          <c:layoutTarget val="inner"/>
          <c:xMode val="edge"/>
          <c:yMode val="edge"/>
          <c:x val="0.28874216024201793"/>
          <c:y val="0.17109361329833772"/>
          <c:w val="0.42251567951596414"/>
          <c:h val="0.54795002187226594"/>
        </c:manualLayout>
      </c:layout>
      <c:pieChart>
        <c:varyColors val="1"/>
        <c:ser>
          <c:idx val="0"/>
          <c:order val="0"/>
          <c:tx>
            <c:strRef>
              <c:f>Arkusz1!$B$1</c:f>
              <c:strCache>
                <c:ptCount val="1"/>
                <c:pt idx="0">
                  <c:v>Liczba skierowanych spraw do SSP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4D-4F06-AD18-CC91C50E45E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4D-4F06-AD18-CC91C50E45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Sprawy zakończone rozstrzygnięciem</c:v>
                </c:pt>
                <c:pt idx="1">
                  <c:v>Sprawy zakończone zwrotem wniosku</c:v>
                </c:pt>
              </c:strCache>
            </c:strRef>
          </c:cat>
          <c:val>
            <c:numRef>
              <c:f>Arkusz1!$B$2:$B$3</c:f>
              <c:numCache>
                <c:formatCode>General</c:formatCode>
                <c:ptCount val="2"/>
                <c:pt idx="0">
                  <c:v>4</c:v>
                </c:pt>
                <c:pt idx="1">
                  <c:v>3</c:v>
                </c:pt>
              </c:numCache>
            </c:numRef>
          </c:val>
          <c:extLst>
            <c:ext xmlns:c16="http://schemas.microsoft.com/office/drawing/2014/chart" uri="{C3380CC4-5D6E-409C-BE32-E72D297353CC}">
              <c16:uniqueId val="{00000006-E44D-4F06-AD18-CC91C50E45E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5.8251707898214843E-2"/>
          <c:y val="0.7402810161097354"/>
          <c:w val="0.81671785707637612"/>
          <c:h val="0.216218104315907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i="1"/>
              <a:t>Kontrole WIIH w </a:t>
            </a:r>
            <a:r>
              <a:rPr lang="en-US" sz="1100" b="1" i="1" u="none" strike="noStrike" kern="1200" baseline="0">
                <a:solidFill>
                  <a:sysClr val="windowText" lastClr="000000">
                    <a:lumMod val="75000"/>
                    <a:lumOff val="25000"/>
                  </a:sysClr>
                </a:solidFill>
                <a:latin typeface="+mn-lt"/>
                <a:ea typeface="+mn-ea"/>
                <a:cs typeface="+mn-cs"/>
              </a:rPr>
              <a:t>Białymstoku</a:t>
            </a:r>
            <a:r>
              <a:rPr lang="pl-PL" sz="1100" i="1" baseline="0"/>
              <a:t> w </a:t>
            </a:r>
            <a:r>
              <a:rPr lang="en-US" sz="1100" i="1"/>
              <a:t>rok</a:t>
            </a:r>
            <a:r>
              <a:rPr lang="pl-PL" sz="1100" i="1"/>
              <a:t>u</a:t>
            </a:r>
            <a:r>
              <a:rPr lang="en-US" sz="1100" i="1"/>
              <a:t> </a:t>
            </a:r>
            <a:r>
              <a:rPr lang="pl-PL" sz="1100" i="1"/>
              <a:t>2022</a:t>
            </a:r>
            <a:endParaRPr lang="en-US" sz="1100" i="1"/>
          </a:p>
        </c:rich>
      </c:tx>
      <c:overlay val="0"/>
      <c:spPr>
        <a:noFill/>
        <a:ln>
          <a:noFill/>
        </a:ln>
        <a:effectLst/>
      </c:spPr>
    </c:title>
    <c:autoTitleDeleted val="0"/>
    <c:view3D>
      <c:rotX val="30"/>
      <c:rotY val="78"/>
      <c:depthPercent val="5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584729026135574E-2"/>
          <c:y val="0.17934904601571269"/>
          <c:w val="0.6054644472372549"/>
          <c:h val="0.68812570145903484"/>
        </c:manualLayout>
      </c:layout>
      <c:pie3DChart>
        <c:varyColors val="1"/>
        <c:ser>
          <c:idx val="0"/>
          <c:order val="0"/>
          <c:tx>
            <c:strRef>
              <c:f>Arkusz1!$B$1</c:f>
              <c:strCache>
                <c:ptCount val="1"/>
                <c:pt idx="0">
                  <c:v>Kontrole WIIH w Białymstoku - rok 2022</c:v>
                </c:pt>
              </c:strCache>
            </c:strRef>
          </c:tx>
          <c:spPr>
            <a:effectLst>
              <a:outerShdw blurRad="279400" dir="1200000" sx="102000" sy="102000" algn="ctr" rotWithShape="0">
                <a:prstClr val="black">
                  <a:alpha val="20000"/>
                </a:prstClr>
              </a:outerShdw>
            </a:effectLst>
            <a:scene3d>
              <a:camera prst="orthographicFront"/>
              <a:lightRig rig="threePt" dir="t"/>
            </a:scene3d>
            <a:sp3d>
              <a:bevelT w="133350" h="101600"/>
              <a:bevelB w="38100" h="107950"/>
            </a:sp3d>
          </c:spPr>
          <c:dPt>
            <c:idx val="0"/>
            <c:bubble3D val="0"/>
            <c:spPr>
              <a:solidFill>
                <a:srgbClr val="AC1443"/>
              </a:solidFill>
              <a:ln>
                <a:noFill/>
              </a:ln>
              <a:effectLst>
                <a:outerShdw blurRad="279400" dir="1200000" sx="102000" sy="102000" algn="ctr" rotWithShape="0">
                  <a:prstClr val="black">
                    <a:alpha val="20000"/>
                  </a:prstClr>
                </a:outerShdw>
              </a:effectLst>
              <a:scene3d>
                <a:camera prst="orthographicFront"/>
                <a:lightRig rig="threePt" dir="t"/>
              </a:scene3d>
              <a:sp3d prstMaterial="matte">
                <a:bevelT w="6350"/>
                <a:bevelB w="38100" h="107950"/>
              </a:sp3d>
            </c:spPr>
            <c:extLst>
              <c:ext xmlns:c16="http://schemas.microsoft.com/office/drawing/2014/chart" uri="{C3380CC4-5D6E-409C-BE32-E72D297353CC}">
                <c16:uniqueId val="{00000001-EB79-4EC3-9927-7699B879F587}"/>
              </c:ext>
            </c:extLst>
          </c:dPt>
          <c:dPt>
            <c:idx val="1"/>
            <c:bubble3D val="0"/>
            <c:spPr>
              <a:solidFill>
                <a:schemeClr val="accent2"/>
              </a:solidFill>
              <a:ln>
                <a:noFill/>
              </a:ln>
              <a:effectLst>
                <a:outerShdw blurRad="279400" dir="1200000" sx="102000" sy="102000" algn="ctr" rotWithShape="0">
                  <a:prstClr val="black">
                    <a:alpha val="20000"/>
                  </a:prstClr>
                </a:outerShdw>
              </a:effectLst>
              <a:scene3d>
                <a:camera prst="orthographicFront"/>
                <a:lightRig rig="threePt" dir="t"/>
              </a:scene3d>
              <a:sp3d>
                <a:bevelB w="38100" h="107950"/>
              </a:sp3d>
            </c:spPr>
            <c:extLst>
              <c:ext xmlns:c16="http://schemas.microsoft.com/office/drawing/2014/chart" uri="{C3380CC4-5D6E-409C-BE32-E72D297353CC}">
                <c16:uniqueId val="{00000003-EB79-4EC3-9927-7699B879F587}"/>
              </c:ext>
            </c:extLst>
          </c:dPt>
          <c:dPt>
            <c:idx val="2"/>
            <c:bubble3D val="0"/>
            <c:spPr>
              <a:solidFill>
                <a:schemeClr val="accent3"/>
              </a:solidFill>
              <a:ln>
                <a:noFill/>
              </a:ln>
              <a:effectLst>
                <a:outerShdw blurRad="279400" dir="1200000" sx="102000" sy="102000" algn="ctr" rotWithShape="0">
                  <a:prstClr val="black">
                    <a:alpha val="20000"/>
                  </a:prstClr>
                </a:outerShdw>
              </a:effectLst>
              <a:scene3d>
                <a:camera prst="orthographicFront"/>
                <a:lightRig rig="threePt" dir="t"/>
              </a:scene3d>
              <a:sp3d>
                <a:bevelB w="38100" h="107950"/>
              </a:sp3d>
            </c:spPr>
            <c:extLst>
              <c:ext xmlns:c16="http://schemas.microsoft.com/office/drawing/2014/chart" uri="{C3380CC4-5D6E-409C-BE32-E72D297353CC}">
                <c16:uniqueId val="{00000005-EB79-4EC3-9927-7699B879F587}"/>
              </c:ext>
            </c:extLst>
          </c:dPt>
          <c:dPt>
            <c:idx val="3"/>
            <c:bubble3D val="0"/>
            <c:spPr>
              <a:solidFill>
                <a:schemeClr val="accent4"/>
              </a:solidFill>
              <a:ln>
                <a:noFill/>
              </a:ln>
              <a:effectLst>
                <a:outerShdw blurRad="279400" dir="1200000" sx="102000" sy="102000" algn="ctr" rotWithShape="0">
                  <a:prstClr val="black">
                    <a:alpha val="20000"/>
                  </a:prstClr>
                </a:outerShdw>
              </a:effectLst>
              <a:scene3d>
                <a:camera prst="orthographicFront"/>
                <a:lightRig rig="threePt" dir="t"/>
              </a:scene3d>
              <a:sp3d>
                <a:bevelB w="38100" h="107950"/>
              </a:sp3d>
            </c:spPr>
            <c:extLst>
              <c:ext xmlns:c16="http://schemas.microsoft.com/office/drawing/2014/chart" uri="{C3380CC4-5D6E-409C-BE32-E72D297353CC}">
                <c16:uniqueId val="{00000007-EB79-4EC3-9927-7699B879F587}"/>
              </c:ext>
            </c:extLst>
          </c:dPt>
          <c:dPt>
            <c:idx val="4"/>
            <c:bubble3D val="0"/>
            <c:spPr>
              <a:solidFill>
                <a:schemeClr val="accent5"/>
              </a:solidFill>
              <a:ln>
                <a:noFill/>
              </a:ln>
              <a:effectLst>
                <a:outerShdw blurRad="279400" dir="1200000" sx="102000" sy="102000" algn="ctr" rotWithShape="0">
                  <a:prstClr val="black">
                    <a:alpha val="20000"/>
                  </a:prstClr>
                </a:outerShdw>
              </a:effectLst>
              <a:scene3d>
                <a:camera prst="orthographicFront"/>
                <a:lightRig rig="threePt" dir="t"/>
              </a:scene3d>
              <a:sp3d>
                <a:bevelB w="38100" h="107950"/>
              </a:sp3d>
            </c:spPr>
            <c:extLst>
              <c:ext xmlns:c16="http://schemas.microsoft.com/office/drawing/2014/chart" uri="{C3380CC4-5D6E-409C-BE32-E72D297353CC}">
                <c16:uniqueId val="{00000009-EB79-4EC3-9927-7699B879F587}"/>
              </c:ext>
            </c:extLst>
          </c:dPt>
          <c:dPt>
            <c:idx val="5"/>
            <c:bubble3D val="0"/>
            <c:spPr>
              <a:solidFill>
                <a:schemeClr val="accent6"/>
              </a:solidFill>
              <a:ln>
                <a:noFill/>
              </a:ln>
              <a:effectLst>
                <a:outerShdw blurRad="279400" dir="1200000" sx="102000" sy="102000" algn="ctr" rotWithShape="0">
                  <a:prstClr val="black">
                    <a:alpha val="20000"/>
                  </a:prstClr>
                </a:outerShdw>
              </a:effectLst>
              <a:scene3d>
                <a:camera prst="orthographicFront"/>
                <a:lightRig rig="threePt" dir="t"/>
              </a:scene3d>
              <a:sp3d>
                <a:bevelB w="38100" h="107950"/>
              </a:sp3d>
            </c:spPr>
            <c:extLst>
              <c:ext xmlns:c16="http://schemas.microsoft.com/office/drawing/2014/chart" uri="{C3380CC4-5D6E-409C-BE32-E72D297353CC}">
                <c16:uniqueId val="{0000000B-EB79-4EC3-9927-7699B879F587}"/>
              </c:ext>
            </c:extLst>
          </c:dPt>
          <c:dPt>
            <c:idx val="6"/>
            <c:bubble3D val="0"/>
            <c:spPr>
              <a:solidFill>
                <a:schemeClr val="accent1">
                  <a:lumMod val="60000"/>
                </a:schemeClr>
              </a:solidFill>
              <a:ln>
                <a:solidFill>
                  <a:schemeClr val="accent1">
                    <a:lumMod val="50000"/>
                  </a:schemeClr>
                </a:solidFill>
              </a:ln>
              <a:effectLst>
                <a:outerShdw blurRad="279400" dir="1200000" sx="102000" sy="102000" algn="ctr" rotWithShape="0">
                  <a:prstClr val="black">
                    <a:alpha val="20000"/>
                  </a:prstClr>
                </a:outerShdw>
              </a:effectLst>
              <a:scene3d>
                <a:camera prst="orthographicFront"/>
                <a:lightRig rig="threePt" dir="t"/>
              </a:scene3d>
              <a:sp3d>
                <a:bevelB w="38100" h="107950"/>
              </a:sp3d>
            </c:spPr>
            <c:extLst>
              <c:ext xmlns:c16="http://schemas.microsoft.com/office/drawing/2014/chart" uri="{C3380CC4-5D6E-409C-BE32-E72D297353CC}">
                <c16:uniqueId val="{0000000D-8946-4484-B758-554AB1565890}"/>
              </c:ext>
            </c:extLst>
          </c:dPt>
          <c:dLbls>
            <c:dLbl>
              <c:idx val="1"/>
              <c:layout>
                <c:manualLayout>
                  <c:x val="-2.912274402181812E-3"/>
                  <c:y val="-1.057150684447272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79-4EC3-9927-7699B879F58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Arkusz1!$A$2:$A$7</c:f>
              <c:strCache>
                <c:ptCount val="6"/>
                <c:pt idx="0">
                  <c:v>Nadzór rynku</c:v>
                </c:pt>
                <c:pt idx="1">
                  <c:v>Ogólne bezpieczeństwo</c:v>
                </c:pt>
                <c:pt idx="2">
                  <c:v>Artykuły nieżywnościowe</c:v>
                </c:pt>
                <c:pt idx="3">
                  <c:v>Paliwa</c:v>
                </c:pt>
                <c:pt idx="4">
                  <c:v>Usługi</c:v>
                </c:pt>
                <c:pt idx="5">
                  <c:v>Inne</c:v>
                </c:pt>
              </c:strCache>
            </c:strRef>
          </c:cat>
          <c:val>
            <c:numRef>
              <c:f>Arkusz1!$B$2:$B$7</c:f>
              <c:numCache>
                <c:formatCode>General</c:formatCode>
                <c:ptCount val="6"/>
                <c:pt idx="0">
                  <c:v>54</c:v>
                </c:pt>
                <c:pt idx="1">
                  <c:v>9</c:v>
                </c:pt>
                <c:pt idx="2">
                  <c:v>86</c:v>
                </c:pt>
                <c:pt idx="3">
                  <c:v>77</c:v>
                </c:pt>
                <c:pt idx="4">
                  <c:v>90</c:v>
                </c:pt>
                <c:pt idx="5">
                  <c:v>773</c:v>
                </c:pt>
              </c:numCache>
            </c:numRef>
          </c:val>
          <c:extLst>
            <c:ext xmlns:c16="http://schemas.microsoft.com/office/drawing/2014/chart" uri="{C3380CC4-5D6E-409C-BE32-E72D297353CC}">
              <c16:uniqueId val="{0000000C-EB79-4EC3-9927-7699B879F587}"/>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716620927270097"/>
          <c:y val="0.16355788859725867"/>
          <c:w val="0.30090572554652167"/>
          <c:h val="0.75477363309384304"/>
        </c:manualLayout>
      </c:layout>
      <c:overlay val="0"/>
      <c:spPr>
        <a:effectLst>
          <a:softEdge rad="63500"/>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Wartość kar administracyjnych</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602304762409751"/>
          <c:y val="0.18872180451127821"/>
          <c:w val="0.76112622285850629"/>
          <c:h val="0.59537149961517966"/>
        </c:manualLayout>
      </c:layout>
      <c:bar3DChart>
        <c:barDir val="col"/>
        <c:grouping val="clustered"/>
        <c:varyColors val="0"/>
        <c:ser>
          <c:idx val="0"/>
          <c:order val="0"/>
          <c:tx>
            <c:strRef>
              <c:f>Arkusz1!$B$1</c:f>
              <c:strCache>
                <c:ptCount val="1"/>
                <c:pt idx="0">
                  <c:v>2022 rok</c:v>
                </c:pt>
              </c:strCache>
            </c:strRef>
          </c:tx>
          <c:spPr>
            <a:solidFill>
              <a:srgbClr val="C00000"/>
            </a:solidFill>
            <a:ln>
              <a:noFill/>
            </a:ln>
            <a:effectLst/>
            <a:sp3d/>
          </c:spPr>
          <c:invertIfNegative val="0"/>
          <c:dLbls>
            <c:dLbl>
              <c:idx val="0"/>
              <c:layout>
                <c:manualLayout>
                  <c:x val="4.9382716049382637E-2"/>
                  <c:y val="-4.5112781954887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B5-4ED3-A4A6-6D67A6C6B0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Wartość kar administracyjnych</c:v>
                </c:pt>
              </c:strCache>
            </c:strRef>
          </c:cat>
          <c:val>
            <c:numRef>
              <c:f>Arkusz1!$B$2</c:f>
              <c:numCache>
                <c:formatCode>General</c:formatCode>
                <c:ptCount val="1"/>
                <c:pt idx="0">
                  <c:v>484889</c:v>
                </c:pt>
              </c:numCache>
            </c:numRef>
          </c:val>
          <c:extLst>
            <c:ext xmlns:c16="http://schemas.microsoft.com/office/drawing/2014/chart" uri="{C3380CC4-5D6E-409C-BE32-E72D297353CC}">
              <c16:uniqueId val="{00000000-EDA7-4FE5-93A1-CD8E0C2A9202}"/>
            </c:ext>
          </c:extLst>
        </c:ser>
        <c:ser>
          <c:idx val="1"/>
          <c:order val="1"/>
          <c:tx>
            <c:strRef>
              <c:f>Arkusz1!$C$1</c:f>
              <c:strCache>
                <c:ptCount val="1"/>
                <c:pt idx="0">
                  <c:v>2021 rok</c:v>
                </c:pt>
              </c:strCache>
            </c:strRef>
          </c:tx>
          <c:spPr>
            <a:solidFill>
              <a:schemeClr val="accent5">
                <a:lumMod val="75000"/>
              </a:schemeClr>
            </a:solidFill>
            <a:ln>
              <a:noFill/>
            </a:ln>
            <a:effectLst/>
            <a:sp3d/>
          </c:spPr>
          <c:invertIfNegative val="0"/>
          <c:dLbls>
            <c:dLbl>
              <c:idx val="0"/>
              <c:layout>
                <c:manualLayout>
                  <c:x val="5.3872053872053786E-2"/>
                  <c:y val="-4.0100250626566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B5-4ED3-A4A6-6D67A6C6B0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Wartość kar administracyjnych</c:v>
                </c:pt>
              </c:strCache>
            </c:strRef>
          </c:cat>
          <c:val>
            <c:numRef>
              <c:f>Arkusz1!$C$2</c:f>
              <c:numCache>
                <c:formatCode>General</c:formatCode>
                <c:ptCount val="1"/>
                <c:pt idx="0">
                  <c:v>288300</c:v>
                </c:pt>
              </c:numCache>
            </c:numRef>
          </c:val>
          <c:extLst>
            <c:ext xmlns:c16="http://schemas.microsoft.com/office/drawing/2014/chart" uri="{C3380CC4-5D6E-409C-BE32-E72D297353CC}">
              <c16:uniqueId val="{00000001-EDA7-4FE5-93A1-CD8E0C2A9202}"/>
            </c:ext>
          </c:extLst>
        </c:ser>
        <c:dLbls>
          <c:showLegendKey val="0"/>
          <c:showVal val="0"/>
          <c:showCatName val="0"/>
          <c:showSerName val="0"/>
          <c:showPercent val="0"/>
          <c:showBubbleSize val="0"/>
        </c:dLbls>
        <c:gapWidth val="150"/>
        <c:shape val="box"/>
        <c:axId val="293302656"/>
        <c:axId val="293304192"/>
        <c:axId val="0"/>
      </c:bar3DChart>
      <c:catAx>
        <c:axId val="293302656"/>
        <c:scaling>
          <c:orientation val="minMax"/>
        </c:scaling>
        <c:delete val="1"/>
        <c:axPos val="b"/>
        <c:numFmt formatCode="General" sourceLinked="1"/>
        <c:majorTickMark val="out"/>
        <c:minorTickMark val="none"/>
        <c:tickLblPos val="nextTo"/>
        <c:crossAx val="293304192"/>
        <c:crosses val="autoZero"/>
        <c:auto val="1"/>
        <c:lblAlgn val="ctr"/>
        <c:lblOffset val="100"/>
        <c:noMultiLvlLbl val="0"/>
      </c:catAx>
      <c:valAx>
        <c:axId val="29330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330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Ilość wydanych decyzji administracyjnych</a:t>
            </a:r>
          </a:p>
        </c:rich>
      </c:tx>
      <c:layout>
        <c:manualLayout>
          <c:xMode val="edge"/>
          <c:yMode val="edge"/>
          <c:x val="0.26725225225225224"/>
          <c:y val="3.508771929824561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2022 rok</c:v>
                </c:pt>
              </c:strCache>
            </c:strRef>
          </c:tx>
          <c:spPr>
            <a:solidFill>
              <a:srgbClr val="7030A0"/>
            </a:solidFill>
            <a:ln>
              <a:noFill/>
            </a:ln>
            <a:effectLst/>
            <a:sp3d/>
          </c:spPr>
          <c:invertIfNegative val="0"/>
          <c:dLbls>
            <c:dLbl>
              <c:idx val="0"/>
              <c:layout>
                <c:manualLayout>
                  <c:x val="1.3513513513513514E-2"/>
                  <c:y val="-6.015037593984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0F-448F-BEA7-BDA8708F8B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decyzji nakładających kary administracyjne</c:v>
                </c:pt>
              </c:strCache>
            </c:strRef>
          </c:cat>
          <c:val>
            <c:numRef>
              <c:f>Arkusz1!$B$2</c:f>
              <c:numCache>
                <c:formatCode>General</c:formatCode>
                <c:ptCount val="1"/>
                <c:pt idx="0">
                  <c:v>211</c:v>
                </c:pt>
              </c:numCache>
            </c:numRef>
          </c:val>
          <c:extLst>
            <c:ext xmlns:c16="http://schemas.microsoft.com/office/drawing/2014/chart" uri="{C3380CC4-5D6E-409C-BE32-E72D297353CC}">
              <c16:uniqueId val="{00000000-D091-4E61-BAF6-EA8F930F4852}"/>
            </c:ext>
          </c:extLst>
        </c:ser>
        <c:ser>
          <c:idx val="1"/>
          <c:order val="1"/>
          <c:tx>
            <c:strRef>
              <c:f>Arkusz1!$C$1</c:f>
              <c:strCache>
                <c:ptCount val="1"/>
                <c:pt idx="0">
                  <c:v>2021 rok</c:v>
                </c:pt>
              </c:strCache>
            </c:strRef>
          </c:tx>
          <c:spPr>
            <a:solidFill>
              <a:schemeClr val="accent6">
                <a:lumMod val="60000"/>
                <a:lumOff val="40000"/>
              </a:schemeClr>
            </a:solidFill>
            <a:ln>
              <a:noFill/>
            </a:ln>
            <a:effectLst/>
            <a:sp3d/>
          </c:spPr>
          <c:invertIfNegative val="0"/>
          <c:dLbls>
            <c:dLbl>
              <c:idx val="0"/>
              <c:layout>
                <c:manualLayout>
                  <c:x val="4.954954954954955E-2"/>
                  <c:y val="-4.51127819548872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0F-448F-BEA7-BDA8708F8B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decyzji nakładających kary administracyjne</c:v>
                </c:pt>
              </c:strCache>
            </c:strRef>
          </c:cat>
          <c:val>
            <c:numRef>
              <c:f>Arkusz1!$C$2</c:f>
              <c:numCache>
                <c:formatCode>General</c:formatCode>
                <c:ptCount val="1"/>
                <c:pt idx="0">
                  <c:v>119</c:v>
                </c:pt>
              </c:numCache>
            </c:numRef>
          </c:val>
          <c:extLst>
            <c:ext xmlns:c16="http://schemas.microsoft.com/office/drawing/2014/chart" uri="{C3380CC4-5D6E-409C-BE32-E72D297353CC}">
              <c16:uniqueId val="{00000001-D091-4E61-BAF6-EA8F930F4852}"/>
            </c:ext>
          </c:extLst>
        </c:ser>
        <c:dLbls>
          <c:showLegendKey val="0"/>
          <c:showVal val="0"/>
          <c:showCatName val="0"/>
          <c:showSerName val="0"/>
          <c:showPercent val="0"/>
          <c:showBubbleSize val="0"/>
        </c:dLbls>
        <c:gapWidth val="150"/>
        <c:shape val="box"/>
        <c:axId val="275752832"/>
        <c:axId val="275754368"/>
        <c:axId val="0"/>
      </c:bar3DChart>
      <c:catAx>
        <c:axId val="275752832"/>
        <c:scaling>
          <c:orientation val="minMax"/>
        </c:scaling>
        <c:delete val="1"/>
        <c:axPos val="b"/>
        <c:numFmt formatCode="General" sourceLinked="1"/>
        <c:majorTickMark val="none"/>
        <c:minorTickMark val="none"/>
        <c:tickLblPos val="nextTo"/>
        <c:crossAx val="275754368"/>
        <c:crosses val="autoZero"/>
        <c:auto val="1"/>
        <c:lblAlgn val="ctr"/>
        <c:lblOffset val="100"/>
        <c:noMultiLvlLbl val="0"/>
      </c:catAx>
      <c:valAx>
        <c:axId val="275754368"/>
        <c:scaling>
          <c:orientation val="minMax"/>
          <c:max val="220"/>
          <c:min val="50"/>
        </c:scaling>
        <c:delete val="0"/>
        <c:axPos val="l"/>
        <c:majorGridlines>
          <c:spPr>
            <a:ln w="317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575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a:noFill/>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i="1"/>
              <a:t>Kontrola jakości</a:t>
            </a:r>
            <a:r>
              <a:rPr lang="pl-PL" sz="1100" b="1" i="1" baseline="0"/>
              <a:t> paliw</a:t>
            </a:r>
          </a:p>
        </c:rich>
      </c:tx>
      <c:layout>
        <c:manualLayout>
          <c:xMode val="edge"/>
          <c:yMode val="edge"/>
          <c:x val="0.23599662261668658"/>
          <c:y val="3.364885739908629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solidFill>
            <a:schemeClr val="bg1"/>
          </a:solidFill>
        </a:ln>
        <a:effectLst/>
        <a:sp3d>
          <a:contourClr>
            <a:schemeClr val="bg1"/>
          </a:contourClr>
        </a:sp3d>
      </c:spPr>
    </c:sideWall>
    <c:backWall>
      <c:thickness val="0"/>
      <c:spPr>
        <a:noFill/>
        <a:ln>
          <a:noFill/>
        </a:ln>
        <a:effectLst/>
        <a:sp3d>
          <a:contourClr>
            <a:schemeClr val="bg1"/>
          </a:contourClr>
        </a:sp3d>
      </c:spPr>
    </c:backWall>
    <c:plotArea>
      <c:layout>
        <c:manualLayout>
          <c:layoutTarget val="inner"/>
          <c:xMode val="edge"/>
          <c:yMode val="edge"/>
          <c:x val="0.25558922781711108"/>
          <c:y val="0.13832969265938533"/>
          <c:w val="0.72636317519133642"/>
          <c:h val="0.57954991109982223"/>
        </c:manualLayout>
      </c:layout>
      <c:bar3DChart>
        <c:barDir val="col"/>
        <c:grouping val="stacked"/>
        <c:varyColors val="0"/>
        <c:ser>
          <c:idx val="0"/>
          <c:order val="0"/>
          <c:tx>
            <c:strRef>
              <c:f>Arkusz1!$B$1</c:f>
              <c:strCache>
                <c:ptCount val="1"/>
                <c:pt idx="0">
                  <c:v>Wynik prawidłowy</c:v>
                </c:pt>
              </c:strCache>
            </c:strRef>
          </c:tx>
          <c:spPr>
            <a:solidFill>
              <a:schemeClr val="accent1"/>
            </a:solidFill>
            <a:ln>
              <a:noFill/>
            </a:ln>
            <a:effectLst/>
            <a:sp3d/>
          </c:spPr>
          <c:invertIfNegative val="0"/>
          <c:dLbls>
            <c:dLbl>
              <c:idx val="0"/>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28B-45D5-A038-6C58A902C3AD}"/>
                </c:ext>
              </c:extLst>
            </c:dLbl>
            <c:dLbl>
              <c:idx val="1"/>
              <c:tx>
                <c:rich>
                  <a:bodyPr/>
                  <a:lstStyle/>
                  <a:p>
                    <a:r>
                      <a:rPr lang="en-US"/>
                      <a:t>18</a:t>
                    </a:r>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28B-45D5-A038-6C58A902C3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2"/>
                <c:pt idx="0">
                  <c:v>Paliwa ciekłe</c:v>
                </c:pt>
                <c:pt idx="1">
                  <c:v>Paliwa stałe </c:v>
                </c:pt>
              </c:strCache>
            </c:strRef>
          </c:cat>
          <c:val>
            <c:numRef>
              <c:f>Arkusz1!$B$2:$B$5</c:f>
              <c:numCache>
                <c:formatCode>General</c:formatCode>
                <c:ptCount val="4"/>
                <c:pt idx="0">
                  <c:v>60</c:v>
                </c:pt>
                <c:pt idx="1">
                  <c:v>21</c:v>
                </c:pt>
              </c:numCache>
            </c:numRef>
          </c:val>
          <c:extLst>
            <c:ext xmlns:c16="http://schemas.microsoft.com/office/drawing/2014/chart" uri="{C3380CC4-5D6E-409C-BE32-E72D297353CC}">
              <c16:uniqueId val="{00000002-B28B-45D5-A038-6C58A902C3AD}"/>
            </c:ext>
          </c:extLst>
        </c:ser>
        <c:ser>
          <c:idx val="1"/>
          <c:order val="1"/>
          <c:tx>
            <c:strRef>
              <c:f>Arkusz1!$C$1</c:f>
              <c:strCache>
                <c:ptCount val="1"/>
                <c:pt idx="0">
                  <c:v>Wynik nieprawidłowy</c:v>
                </c:pt>
              </c:strCache>
            </c:strRef>
          </c:tx>
          <c:spPr>
            <a:solidFill>
              <a:srgbClr val="FFC000"/>
            </a:solidFill>
            <a:ln>
              <a:noFill/>
            </a:ln>
            <a:effectLst/>
            <a:sp3d/>
          </c:spPr>
          <c:invertIfNegative val="0"/>
          <c:dLbls>
            <c:dLbl>
              <c:idx val="0"/>
              <c:layout>
                <c:manualLayout>
                  <c:x val="1.1204481792717087E-2"/>
                  <c:y val="-2.5806451612903226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28B-45D5-A038-6C58A902C3AD}"/>
                </c:ext>
              </c:extLst>
            </c:dLbl>
            <c:dLbl>
              <c:idx val="1"/>
              <c:layout>
                <c:manualLayout>
                  <c:x val="1.1204481792717087E-2"/>
                  <c:y val="-4.7311827956989246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28B-45D5-A038-6C58A902C3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Arkusz1!$A$2:$A$5</c:f>
              <c:strCache>
                <c:ptCount val="2"/>
                <c:pt idx="0">
                  <c:v>Paliwa ciekłe</c:v>
                </c:pt>
                <c:pt idx="1">
                  <c:v>Paliwa stałe </c:v>
                </c:pt>
              </c:strCache>
            </c:strRef>
          </c:cat>
          <c:val>
            <c:numRef>
              <c:f>Arkusz1!$C$2:$C$5</c:f>
              <c:numCache>
                <c:formatCode>General</c:formatCode>
                <c:ptCount val="4"/>
                <c:pt idx="0">
                  <c:v>0</c:v>
                </c:pt>
                <c:pt idx="1">
                  <c:v>6</c:v>
                </c:pt>
              </c:numCache>
            </c:numRef>
          </c:val>
          <c:extLst>
            <c:ext xmlns:c16="http://schemas.microsoft.com/office/drawing/2014/chart" uri="{C3380CC4-5D6E-409C-BE32-E72D297353CC}">
              <c16:uniqueId val="{00000005-B28B-45D5-A038-6C58A902C3AD}"/>
            </c:ext>
          </c:extLst>
        </c:ser>
        <c:dLbls>
          <c:showLegendKey val="0"/>
          <c:showVal val="0"/>
          <c:showCatName val="0"/>
          <c:showSerName val="0"/>
          <c:showPercent val="0"/>
          <c:showBubbleSize val="0"/>
        </c:dLbls>
        <c:gapWidth val="150"/>
        <c:shape val="box"/>
        <c:axId val="293848192"/>
        <c:axId val="293849728"/>
        <c:axId val="0"/>
      </c:bar3DChart>
      <c:catAx>
        <c:axId val="29384819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3849728"/>
        <c:crosses val="autoZero"/>
        <c:auto val="1"/>
        <c:lblAlgn val="ctr"/>
        <c:lblOffset val="100"/>
        <c:noMultiLvlLbl val="0"/>
      </c:catAx>
      <c:valAx>
        <c:axId val="29384972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baseline="0"/>
                  <a:t>Liczba kontroli</a:t>
                </a:r>
                <a:endParaRPr lang="pl-PL"/>
              </a:p>
            </c:rich>
          </c:tx>
          <c:layout>
            <c:manualLayout>
              <c:xMode val="edge"/>
              <c:yMode val="edge"/>
              <c:x val="7.5034738304770709E-3"/>
              <c:y val="0.34690745914825161"/>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3848192"/>
        <c:crosses val="autoZero"/>
        <c:crossBetween val="between"/>
      </c:valAx>
      <c:spPr>
        <a:noFill/>
        <a:ln>
          <a:noFill/>
        </a:ln>
        <a:effectLst/>
      </c:spPr>
    </c:plotArea>
    <c:legend>
      <c:legendPos val="b"/>
      <c:layout>
        <c:manualLayout>
          <c:xMode val="edge"/>
          <c:yMode val="edge"/>
          <c:x val="0.16762301771102142"/>
          <c:y val="0.86186808906951151"/>
          <c:w val="0.64541113937160177"/>
          <c:h val="9.18123945061818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i="1"/>
              <a:t>Obszar</a:t>
            </a:r>
            <a:r>
              <a:rPr lang="pl-PL" sz="1100" b="1" i="1" baseline="0"/>
              <a:t> nadzoru rynku</a:t>
            </a:r>
            <a:endParaRPr lang="pl-PL" sz="1100" b="1" i="1"/>
          </a:p>
        </c:rich>
      </c:tx>
      <c:layout>
        <c:manualLayout>
          <c:xMode val="edge"/>
          <c:yMode val="edge"/>
          <c:x val="0.22148869731204543"/>
          <c:y val="2.547770700636942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Produkty niekwestionowane </c:v>
                </c:pt>
              </c:strCache>
            </c:strRef>
          </c:tx>
          <c:spPr>
            <a:solidFill>
              <a:schemeClr val="accent1"/>
            </a:solidFill>
            <a:ln>
              <a:noFill/>
            </a:ln>
            <a:effectLst/>
            <a:sp3d/>
          </c:spPr>
          <c:invertIfNegative val="0"/>
          <c:dLbls>
            <c:dLbl>
              <c:idx val="0"/>
              <c:layout>
                <c:manualLayout>
                  <c:x val="9.5923261390887284E-3"/>
                  <c:y val="-2.9197080291970847E-2"/>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FFF-44E7-85B9-BCB9A51B180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Arkusz1!$B$2</c:f>
              <c:numCache>
                <c:formatCode>General</c:formatCode>
                <c:ptCount val="1"/>
                <c:pt idx="0">
                  <c:v>35</c:v>
                </c:pt>
              </c:numCache>
            </c:numRef>
          </c:val>
          <c:extLst>
            <c:ext xmlns:c16="http://schemas.microsoft.com/office/drawing/2014/chart" uri="{C3380CC4-5D6E-409C-BE32-E72D297353CC}">
              <c16:uniqueId val="{00000001-4FFF-44E7-85B9-BCB9A51B1807}"/>
            </c:ext>
          </c:extLst>
        </c:ser>
        <c:ser>
          <c:idx val="1"/>
          <c:order val="1"/>
          <c:tx>
            <c:strRef>
              <c:f>Arkusz1!$C$1</c:f>
              <c:strCache>
                <c:ptCount val="1"/>
                <c:pt idx="0">
                  <c:v>Produkty zakwestionowane</c:v>
                </c:pt>
              </c:strCache>
            </c:strRef>
          </c:tx>
          <c:spPr>
            <a:solidFill>
              <a:schemeClr val="accent2"/>
            </a:solidFill>
            <a:ln>
              <a:noFill/>
            </a:ln>
            <a:effectLst/>
            <a:sp3d/>
          </c:spPr>
          <c:invertIfNegative val="0"/>
          <c:dLbls>
            <c:dLbl>
              <c:idx val="0"/>
              <c:layout>
                <c:manualLayout>
                  <c:x val="2.8776978417266098E-2"/>
                  <c:y val="-2.9197080291970802E-2"/>
                </c:manualLayout>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FFF-44E7-85B9-BCB9A51B180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Arkusz1!$C$2</c:f>
              <c:numCache>
                <c:formatCode>General</c:formatCode>
                <c:ptCount val="1"/>
                <c:pt idx="0">
                  <c:v>63</c:v>
                </c:pt>
              </c:numCache>
            </c:numRef>
          </c:val>
          <c:extLst>
            <c:ext xmlns:c16="http://schemas.microsoft.com/office/drawing/2014/chart" uri="{C3380CC4-5D6E-409C-BE32-E72D297353CC}">
              <c16:uniqueId val="{00000003-4FFF-44E7-85B9-BCB9A51B1807}"/>
            </c:ext>
          </c:extLst>
        </c:ser>
        <c:dLbls>
          <c:showLegendKey val="0"/>
          <c:showVal val="0"/>
          <c:showCatName val="0"/>
          <c:showSerName val="0"/>
          <c:showPercent val="0"/>
          <c:showBubbleSize val="0"/>
        </c:dLbls>
        <c:gapWidth val="150"/>
        <c:shape val="box"/>
        <c:axId val="293449728"/>
        <c:axId val="293451264"/>
        <c:axId val="0"/>
      </c:bar3DChart>
      <c:catAx>
        <c:axId val="293449728"/>
        <c:scaling>
          <c:orientation val="minMax"/>
        </c:scaling>
        <c:delete val="1"/>
        <c:axPos val="b"/>
        <c:numFmt formatCode="General" sourceLinked="1"/>
        <c:majorTickMark val="none"/>
        <c:minorTickMark val="none"/>
        <c:tickLblPos val="nextTo"/>
        <c:crossAx val="293451264"/>
        <c:crosses val="autoZero"/>
        <c:auto val="1"/>
        <c:lblAlgn val="ctr"/>
        <c:lblOffset val="100"/>
        <c:noMultiLvlLbl val="0"/>
      </c:catAx>
      <c:valAx>
        <c:axId val="29345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a:t>
                </a:r>
                <a:r>
                  <a:rPr lang="pl-PL" baseline="0"/>
                  <a:t> produktów skontrolowanych</a:t>
                </a:r>
                <a:endParaRPr lang="pl-P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344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i="1"/>
              <a:t>Ogólne bezpieczeństwo</a:t>
            </a:r>
          </a:p>
        </c:rich>
      </c:tx>
      <c:layout>
        <c:manualLayout>
          <c:xMode val="edge"/>
          <c:yMode val="edge"/>
          <c:x val="0.22636926889714995"/>
          <c:y val="3.162055335968379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391163929787586"/>
          <c:y val="0.17276485788113696"/>
          <c:w val="0.72156543629072389"/>
          <c:h val="0.57271195751693826"/>
        </c:manualLayout>
      </c:layout>
      <c:bar3DChart>
        <c:barDir val="col"/>
        <c:grouping val="clustered"/>
        <c:varyColors val="0"/>
        <c:ser>
          <c:idx val="0"/>
          <c:order val="0"/>
          <c:tx>
            <c:strRef>
              <c:f>Arkusz1!$B$1</c:f>
              <c:strCache>
                <c:ptCount val="1"/>
                <c:pt idx="0">
                  <c:v>Produkty niekwestionowane </c:v>
                </c:pt>
              </c:strCache>
            </c:strRef>
          </c:tx>
          <c:spPr>
            <a:solidFill>
              <a:schemeClr val="accent1"/>
            </a:solidFill>
            <a:ln>
              <a:noFill/>
            </a:ln>
            <a:effectLst/>
            <a:sp3d/>
          </c:spPr>
          <c:invertIfNegative val="0"/>
          <c:dLbls>
            <c:dLbl>
              <c:idx val="0"/>
              <c:layout>
                <c:manualLayout>
                  <c:x val="2.4783147459727387E-2"/>
                  <c:y val="-2.7777777777777863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BD2-4B79-A74A-6FA8B594286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Arkusz1!$B$2</c:f>
              <c:numCache>
                <c:formatCode>General</c:formatCode>
                <c:ptCount val="1"/>
                <c:pt idx="0">
                  <c:v>8</c:v>
                </c:pt>
              </c:numCache>
            </c:numRef>
          </c:val>
          <c:extLst>
            <c:ext xmlns:c16="http://schemas.microsoft.com/office/drawing/2014/chart" uri="{C3380CC4-5D6E-409C-BE32-E72D297353CC}">
              <c16:uniqueId val="{00000001-2BD2-4B79-A74A-6FA8B594286A}"/>
            </c:ext>
          </c:extLst>
        </c:ser>
        <c:ser>
          <c:idx val="1"/>
          <c:order val="1"/>
          <c:tx>
            <c:strRef>
              <c:f>Arkusz1!$C$1</c:f>
              <c:strCache>
                <c:ptCount val="1"/>
                <c:pt idx="0">
                  <c:v>Produkty zakwestionowane</c:v>
                </c:pt>
              </c:strCache>
            </c:strRef>
          </c:tx>
          <c:spPr>
            <a:solidFill>
              <a:schemeClr val="accent2"/>
            </a:solidFill>
            <a:ln>
              <a:noFill/>
            </a:ln>
            <a:effectLst/>
            <a:sp3d/>
          </c:spPr>
          <c:invertIfNegative val="0"/>
          <c:dLbls>
            <c:dLbl>
              <c:idx val="0"/>
              <c:layout>
                <c:manualLayout>
                  <c:x val="3.9653035935563727E-2"/>
                  <c:y val="-3.2407407407407406E-2"/>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BD2-4B79-A74A-6FA8B594286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Arkusz1!$C$2</c:f>
              <c:numCache>
                <c:formatCode>General</c:formatCode>
                <c:ptCount val="1"/>
                <c:pt idx="0">
                  <c:v>16</c:v>
                </c:pt>
              </c:numCache>
            </c:numRef>
          </c:val>
          <c:extLst>
            <c:ext xmlns:c16="http://schemas.microsoft.com/office/drawing/2014/chart" uri="{C3380CC4-5D6E-409C-BE32-E72D297353CC}">
              <c16:uniqueId val="{00000003-2BD2-4B79-A74A-6FA8B594286A}"/>
            </c:ext>
          </c:extLst>
        </c:ser>
        <c:dLbls>
          <c:showLegendKey val="0"/>
          <c:showVal val="0"/>
          <c:showCatName val="0"/>
          <c:showSerName val="0"/>
          <c:showPercent val="0"/>
          <c:showBubbleSize val="0"/>
        </c:dLbls>
        <c:gapWidth val="150"/>
        <c:shape val="box"/>
        <c:axId val="293541760"/>
        <c:axId val="293543296"/>
        <c:axId val="0"/>
      </c:bar3DChart>
      <c:catAx>
        <c:axId val="293541760"/>
        <c:scaling>
          <c:orientation val="minMax"/>
        </c:scaling>
        <c:delete val="1"/>
        <c:axPos val="b"/>
        <c:numFmt formatCode="General" sourceLinked="1"/>
        <c:majorTickMark val="none"/>
        <c:minorTickMark val="none"/>
        <c:tickLblPos val="nextTo"/>
        <c:crossAx val="293543296"/>
        <c:crosses val="autoZero"/>
        <c:auto val="1"/>
        <c:lblAlgn val="ctr"/>
        <c:lblOffset val="100"/>
        <c:noMultiLvlLbl val="0"/>
      </c:catAx>
      <c:valAx>
        <c:axId val="293543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baseline="0"/>
                  <a:t>Ilość produktów skontrolowanych</a:t>
                </a:r>
                <a:endParaRPr lang="pl-P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354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b="1" i="1" u="none" strike="noStrike" baseline="0">
                <a:effectLst/>
              </a:rPr>
              <a:t>Informowanie konsumentów o cenach towarów i usług</a:t>
            </a:r>
            <a:endParaRPr lang="pl-PL" sz="1050" i="1"/>
          </a:p>
        </c:rich>
      </c:tx>
      <c:layout>
        <c:manualLayout>
          <c:xMode val="edge"/>
          <c:yMode val="edge"/>
          <c:x val="0.17990870706379095"/>
          <c:y val="2.567403154873199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Liczba kontroli </c:v>
                </c:pt>
              </c:strCache>
            </c:strRef>
          </c:tx>
          <c:spPr>
            <a:solidFill>
              <a:schemeClr val="accent1"/>
            </a:solidFill>
            <a:ln>
              <a:noFill/>
            </a:ln>
            <a:effectLst/>
            <a:sp3d/>
          </c:spPr>
          <c:invertIfNegative val="0"/>
          <c:dLbls>
            <c:dLbl>
              <c:idx val="0"/>
              <c:layout>
                <c:manualLayout>
                  <c:x val="3.2258064516129031E-2"/>
                  <c:y val="-1.3513513513513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A4-4CDB-9CC3-B8F684A1162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Arkusz1!$B$2</c:f>
              <c:numCache>
                <c:formatCode>General</c:formatCode>
                <c:ptCount val="1"/>
                <c:pt idx="0">
                  <c:v>329</c:v>
                </c:pt>
              </c:numCache>
            </c:numRef>
          </c:val>
          <c:extLst>
            <c:ext xmlns:c16="http://schemas.microsoft.com/office/drawing/2014/chart" uri="{C3380CC4-5D6E-409C-BE32-E72D297353CC}">
              <c16:uniqueId val="{00000000-5B1A-4079-B46D-2AD9724244D5}"/>
            </c:ext>
          </c:extLst>
        </c:ser>
        <c:ser>
          <c:idx val="1"/>
          <c:order val="1"/>
          <c:tx>
            <c:strRef>
              <c:f>Arkusz1!$C$1</c:f>
              <c:strCache>
                <c:ptCount val="1"/>
                <c:pt idx="0">
                  <c:v>Liczba kontroli, w których stwierdzono nieprawidłowości</c:v>
                </c:pt>
              </c:strCache>
            </c:strRef>
          </c:tx>
          <c:spPr>
            <a:solidFill>
              <a:schemeClr val="accent2"/>
            </a:solidFill>
            <a:ln>
              <a:noFill/>
            </a:ln>
            <a:effectLst/>
            <a:sp3d/>
          </c:spPr>
          <c:invertIfNegative val="0"/>
          <c:dLbls>
            <c:dLbl>
              <c:idx val="0"/>
              <c:layout>
                <c:manualLayout>
                  <c:x val="5.3763440860215055E-2"/>
                  <c:y val="-4.50450450450450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A4-4CDB-9CC3-B8F684A1162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c:f>
              <c:strCache>
                <c:ptCount val="1"/>
                <c:pt idx="0">
                  <c:v>Liczba produktów skontrolowanych</c:v>
                </c:pt>
              </c:strCache>
            </c:strRef>
          </c:cat>
          <c:val>
            <c:numRef>
              <c:f>Arkusz1!$C$2</c:f>
              <c:numCache>
                <c:formatCode>General</c:formatCode>
                <c:ptCount val="1"/>
                <c:pt idx="0">
                  <c:v>84</c:v>
                </c:pt>
              </c:numCache>
            </c:numRef>
          </c:val>
          <c:extLst>
            <c:ext xmlns:c16="http://schemas.microsoft.com/office/drawing/2014/chart" uri="{C3380CC4-5D6E-409C-BE32-E72D297353CC}">
              <c16:uniqueId val="{00000001-5B1A-4079-B46D-2AD9724244D5}"/>
            </c:ext>
          </c:extLst>
        </c:ser>
        <c:dLbls>
          <c:showLegendKey val="0"/>
          <c:showVal val="0"/>
          <c:showCatName val="0"/>
          <c:showSerName val="0"/>
          <c:showPercent val="0"/>
          <c:showBubbleSize val="0"/>
        </c:dLbls>
        <c:gapWidth val="150"/>
        <c:shape val="box"/>
        <c:axId val="293929728"/>
        <c:axId val="293931264"/>
        <c:axId val="0"/>
      </c:bar3DChart>
      <c:catAx>
        <c:axId val="293929728"/>
        <c:scaling>
          <c:orientation val="minMax"/>
        </c:scaling>
        <c:delete val="1"/>
        <c:axPos val="b"/>
        <c:numFmt formatCode="General" sourceLinked="1"/>
        <c:majorTickMark val="none"/>
        <c:minorTickMark val="none"/>
        <c:tickLblPos val="nextTo"/>
        <c:crossAx val="293931264"/>
        <c:crosses val="autoZero"/>
        <c:auto val="1"/>
        <c:lblAlgn val="ctr"/>
        <c:lblOffset val="100"/>
        <c:noMultiLvlLbl val="0"/>
      </c:catAx>
      <c:valAx>
        <c:axId val="29393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przeprowadzonych kontroli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3929728"/>
        <c:crosses val="autoZero"/>
        <c:crossBetween val="between"/>
      </c:valAx>
      <c:spPr>
        <a:noFill/>
        <a:ln>
          <a:noFill/>
        </a:ln>
        <a:effectLst/>
      </c:spPr>
    </c:plotArea>
    <c:legend>
      <c:legendPos val="b"/>
      <c:layout>
        <c:manualLayout>
          <c:xMode val="edge"/>
          <c:yMode val="edge"/>
          <c:x val="0.15507366014732027"/>
          <c:y val="0.76712959660530233"/>
          <c:w val="0.80813182626365254"/>
          <c:h val="0.200350078191445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22391163929787586"/>
          <c:y val="0.17276485788113696"/>
          <c:w val="0.72156543629072389"/>
          <c:h val="0.57271195751693826"/>
        </c:manualLayout>
      </c:layout>
      <c:bar3DChart>
        <c:barDir val="col"/>
        <c:grouping val="clustered"/>
        <c:varyColors val="0"/>
        <c:dLbls>
          <c:showLegendKey val="0"/>
          <c:showVal val="0"/>
          <c:showCatName val="0"/>
          <c:showSerName val="0"/>
          <c:showPercent val="0"/>
          <c:showBubbleSize val="0"/>
        </c:dLbls>
        <c:gapWidth val="150"/>
        <c:shape val="box"/>
        <c:axId val="293593088"/>
        <c:axId val="293594624"/>
        <c:axId val="0"/>
      </c:bar3DChart>
      <c:catAx>
        <c:axId val="293593088"/>
        <c:scaling>
          <c:orientation val="minMax"/>
        </c:scaling>
        <c:delete val="1"/>
        <c:axPos val="b"/>
        <c:numFmt formatCode="General" sourceLinked="1"/>
        <c:majorTickMark val="none"/>
        <c:minorTickMark val="none"/>
        <c:tickLblPos val="nextTo"/>
        <c:crossAx val="293594624"/>
        <c:crosses val="autoZero"/>
        <c:auto val="1"/>
        <c:lblAlgn val="ctr"/>
        <c:lblOffset val="100"/>
        <c:noMultiLvlLbl val="0"/>
      </c:catAx>
      <c:valAx>
        <c:axId val="293594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3593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EB43-85D6-48AD-9921-CF64CE48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4291</Words>
  <Characters>25751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Baran</dc:creator>
  <cp:keywords/>
  <dc:description/>
  <cp:lastModifiedBy>Dorota Dziermańska</cp:lastModifiedBy>
  <cp:revision>27</cp:revision>
  <cp:lastPrinted>2022-02-15T07:20:00Z</cp:lastPrinted>
  <dcterms:created xsi:type="dcterms:W3CDTF">2023-02-13T12:17:00Z</dcterms:created>
  <dcterms:modified xsi:type="dcterms:W3CDTF">2023-02-20T13:05:00Z</dcterms:modified>
</cp:coreProperties>
</file>