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8300" w14:textId="7948092D" w:rsidR="00E80632" w:rsidRPr="003510BE" w:rsidRDefault="00083A2C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>
        <w:rPr>
          <w:b/>
          <w:sz w:val="35"/>
          <w:szCs w:val="35"/>
        </w:rPr>
        <w:t>PODLASKI</w:t>
      </w:r>
      <w:r w:rsidR="00E80632" w:rsidRPr="003510BE">
        <w:rPr>
          <w:b/>
          <w:sz w:val="35"/>
          <w:szCs w:val="35"/>
        </w:rPr>
        <w:br/>
        <w:t xml:space="preserve"> WOJEWÓDZKI INSPEKTOR</w:t>
      </w:r>
    </w:p>
    <w:p w14:paraId="56275FAE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3510BE">
        <w:rPr>
          <w:b/>
          <w:sz w:val="35"/>
          <w:szCs w:val="35"/>
        </w:rPr>
        <w:t>INSPEKCJI HANDLOWEJ</w:t>
      </w:r>
    </w:p>
    <w:p w14:paraId="3F8E7765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578727B8" w14:textId="4E62B8CD" w:rsidR="00E80632" w:rsidRPr="003510BE" w:rsidRDefault="00E80632" w:rsidP="00E80632">
      <w:pPr>
        <w:spacing w:line="360" w:lineRule="auto"/>
        <w:jc w:val="center"/>
      </w:pPr>
      <w:r w:rsidRPr="003510BE">
        <w:rPr>
          <w:noProof/>
        </w:rPr>
        <w:drawing>
          <wp:inline distT="0" distB="0" distL="0" distR="0" wp14:anchorId="6B367B6C" wp14:editId="2429DB97">
            <wp:extent cx="2182495" cy="1518285"/>
            <wp:effectExtent l="0" t="0" r="8255" b="5715"/>
            <wp:docPr id="1" name="Obraz 1" descr="logo_insp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spek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A95D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156D47BA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bCs/>
          <w:sz w:val="48"/>
          <w:szCs w:val="48"/>
        </w:rPr>
      </w:pPr>
      <w:r w:rsidRPr="003510BE">
        <w:rPr>
          <w:b/>
          <w:bCs/>
          <w:sz w:val="48"/>
          <w:szCs w:val="48"/>
        </w:rPr>
        <w:t xml:space="preserve">Sprawozdanie </w:t>
      </w:r>
    </w:p>
    <w:p w14:paraId="1C6576A0" w14:textId="162953DF" w:rsidR="00E80632" w:rsidRPr="003510BE" w:rsidRDefault="00E80632" w:rsidP="00E80632">
      <w:pPr>
        <w:spacing w:line="360" w:lineRule="auto"/>
        <w:jc w:val="center"/>
        <w:rPr>
          <w:b/>
          <w:bCs/>
          <w:sz w:val="48"/>
          <w:szCs w:val="48"/>
        </w:rPr>
      </w:pPr>
      <w:r w:rsidRPr="003510BE">
        <w:rPr>
          <w:b/>
          <w:bCs/>
          <w:sz w:val="48"/>
          <w:szCs w:val="48"/>
        </w:rPr>
        <w:t xml:space="preserve">z działalności Wojewódzkiego Inspektoratu Inspekcji Handlowej w </w:t>
      </w:r>
      <w:r w:rsidR="00083A2C">
        <w:rPr>
          <w:b/>
          <w:bCs/>
          <w:sz w:val="48"/>
          <w:szCs w:val="48"/>
        </w:rPr>
        <w:t>Białymstoku</w:t>
      </w:r>
    </w:p>
    <w:p w14:paraId="7B84999C" w14:textId="26D0329D" w:rsidR="00E80632" w:rsidRPr="003510BE" w:rsidRDefault="00E80632" w:rsidP="00E80632">
      <w:pPr>
        <w:spacing w:line="360" w:lineRule="auto"/>
        <w:jc w:val="center"/>
        <w:rPr>
          <w:b/>
          <w:sz w:val="48"/>
          <w:szCs w:val="48"/>
        </w:rPr>
      </w:pPr>
      <w:r w:rsidRPr="003510BE">
        <w:rPr>
          <w:b/>
          <w:bCs/>
          <w:sz w:val="48"/>
          <w:szCs w:val="48"/>
        </w:rPr>
        <w:t>za rok 20</w:t>
      </w:r>
      <w:r>
        <w:rPr>
          <w:b/>
          <w:bCs/>
          <w:sz w:val="48"/>
          <w:szCs w:val="48"/>
        </w:rPr>
        <w:t>2</w:t>
      </w:r>
      <w:r w:rsidR="00083A2C">
        <w:rPr>
          <w:b/>
          <w:bCs/>
          <w:sz w:val="48"/>
          <w:szCs w:val="48"/>
        </w:rPr>
        <w:t>1</w:t>
      </w:r>
    </w:p>
    <w:p w14:paraId="2905EC6F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634C346A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7D83BB64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41B8F951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70417A5B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1AFFDE69" w14:textId="543D7EE5" w:rsidR="00E80632" w:rsidRPr="003510BE" w:rsidRDefault="00083A2C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>
        <w:rPr>
          <w:b/>
          <w:sz w:val="35"/>
          <w:szCs w:val="35"/>
        </w:rPr>
        <w:t>Białystok</w:t>
      </w:r>
      <w:r w:rsidR="00C35370">
        <w:rPr>
          <w:b/>
          <w:sz w:val="35"/>
          <w:szCs w:val="35"/>
        </w:rPr>
        <w:t>, luty</w:t>
      </w:r>
      <w:r>
        <w:rPr>
          <w:b/>
          <w:sz w:val="35"/>
          <w:szCs w:val="35"/>
        </w:rPr>
        <w:t xml:space="preserve"> 2022</w:t>
      </w:r>
      <w:r w:rsidR="00E80632" w:rsidRPr="003510BE">
        <w:rPr>
          <w:b/>
          <w:sz w:val="35"/>
          <w:szCs w:val="35"/>
        </w:rPr>
        <w:t xml:space="preserve"> r.</w:t>
      </w:r>
    </w:p>
    <w:p w14:paraId="6504249B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6AFD2C91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0DA3A3DA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59D18855" w14:textId="3588129C" w:rsidR="00E80632" w:rsidRPr="00C35370" w:rsidRDefault="00E80632" w:rsidP="00F377D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</w:pPr>
      <w:r w:rsidRPr="00C35370"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  <w:lastRenderedPageBreak/>
        <w:t xml:space="preserve">Cel i zakres działalności </w:t>
      </w:r>
    </w:p>
    <w:p w14:paraId="5668102D" w14:textId="77777777" w:rsidR="00E80632" w:rsidRPr="00200CE0" w:rsidRDefault="00E80632" w:rsidP="00F377D9">
      <w:pPr>
        <w:jc w:val="both"/>
        <w:rPr>
          <w:b/>
          <w:bCs/>
          <w:sz w:val="28"/>
          <w:szCs w:val="28"/>
        </w:rPr>
      </w:pPr>
    </w:p>
    <w:p w14:paraId="75E7C3DD" w14:textId="2467548E" w:rsidR="00E80632" w:rsidRPr="00911779" w:rsidRDefault="00E80632" w:rsidP="00F377D9">
      <w:pPr>
        <w:jc w:val="both"/>
      </w:pPr>
      <w:r w:rsidRPr="00911779">
        <w:t>Głównym obszarem działalności Inspektoratu w 202</w:t>
      </w:r>
      <w:r w:rsidR="00911D2E">
        <w:t>1</w:t>
      </w:r>
      <w:r w:rsidRPr="00911779">
        <w:t xml:space="preserve"> r. były działania mające na celu ochronę interesów i praw konsumentów oraz interesów gospodarczych państwa. Cele te realizowano poprzez:</w:t>
      </w:r>
    </w:p>
    <w:p w14:paraId="5751F496" w14:textId="77777777" w:rsidR="00E80632" w:rsidRPr="00911779" w:rsidRDefault="00E80632" w:rsidP="00F377D9">
      <w:pPr>
        <w:pStyle w:val="Akapitzlist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911779">
        <w:rPr>
          <w:rFonts w:ascii="Times New Roman" w:hAnsi="Times New Roman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>nia</w:t>
      </w:r>
      <w:r w:rsidRPr="00911779">
        <w:rPr>
          <w:rFonts w:ascii="Times New Roman" w:hAnsi="Times New Roman"/>
          <w:sz w:val="24"/>
          <w:szCs w:val="24"/>
        </w:rPr>
        <w:t xml:space="preserve"> kontrolne,</w:t>
      </w:r>
    </w:p>
    <w:p w14:paraId="7E210FB5" w14:textId="6ADD4F2D" w:rsidR="00E80632" w:rsidRDefault="00E80632" w:rsidP="00F377D9">
      <w:pPr>
        <w:pStyle w:val="Akapitzlist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</w:t>
      </w:r>
      <w:r w:rsidR="00121354" w:rsidRPr="00911779">
        <w:rPr>
          <w:rFonts w:ascii="Times New Roman" w:hAnsi="Times New Roman"/>
          <w:sz w:val="24"/>
          <w:szCs w:val="24"/>
        </w:rPr>
        <w:t xml:space="preserve">postępowań </w:t>
      </w:r>
      <w:r w:rsidR="00121354">
        <w:rPr>
          <w:rFonts w:ascii="Times New Roman" w:hAnsi="Times New Roman"/>
          <w:sz w:val="24"/>
          <w:szCs w:val="24"/>
        </w:rPr>
        <w:t xml:space="preserve">w zakresie </w:t>
      </w:r>
      <w:r w:rsidRPr="00911779">
        <w:rPr>
          <w:rFonts w:ascii="Times New Roman" w:hAnsi="Times New Roman"/>
          <w:sz w:val="24"/>
          <w:szCs w:val="24"/>
        </w:rPr>
        <w:t>pozasądow</w:t>
      </w:r>
      <w:r w:rsidR="00121354">
        <w:rPr>
          <w:rFonts w:ascii="Times New Roman" w:hAnsi="Times New Roman"/>
          <w:sz w:val="24"/>
          <w:szCs w:val="24"/>
        </w:rPr>
        <w:t>ego</w:t>
      </w:r>
      <w:r w:rsidRPr="00911779">
        <w:rPr>
          <w:rFonts w:ascii="Times New Roman" w:hAnsi="Times New Roman"/>
          <w:sz w:val="24"/>
          <w:szCs w:val="24"/>
        </w:rPr>
        <w:t xml:space="preserve"> rozwiązywania sporów konsumenckich między konsumentami a przedsiębiorcami</w:t>
      </w:r>
      <w:r w:rsidR="00E0118F">
        <w:rPr>
          <w:rFonts w:ascii="Times New Roman" w:hAnsi="Times New Roman"/>
          <w:sz w:val="24"/>
          <w:szCs w:val="24"/>
        </w:rPr>
        <w:t xml:space="preserve"> oraz udzielanie porad prawnych,</w:t>
      </w:r>
    </w:p>
    <w:p w14:paraId="150187E5" w14:textId="4065C14B" w:rsidR="00B63E4F" w:rsidRDefault="00B63E4F" w:rsidP="00F377D9">
      <w:pPr>
        <w:pStyle w:val="Akapitzlist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postępowań przed Stałym Polubownym Sądem Konsumenckim,</w:t>
      </w:r>
    </w:p>
    <w:p w14:paraId="55647E33" w14:textId="77777777" w:rsidR="00E80632" w:rsidRPr="00911779" w:rsidRDefault="00E80632" w:rsidP="00F377D9">
      <w:pPr>
        <w:pStyle w:val="Akapitzlist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na wniosek organów celno-skarbowych opinii dotyczących spełnienia wymagań prawnych przez towary importowane na teren UE,</w:t>
      </w:r>
    </w:p>
    <w:p w14:paraId="0B4A56A7" w14:textId="1DCE250E" w:rsidR="00E80632" w:rsidRPr="00911779" w:rsidRDefault="00E80632" w:rsidP="00F377D9">
      <w:pPr>
        <w:pStyle w:val="Akapitzlist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</w:t>
      </w:r>
      <w:r w:rsidRPr="00911779">
        <w:rPr>
          <w:rFonts w:ascii="Times New Roman" w:hAnsi="Times New Roman"/>
          <w:sz w:val="24"/>
          <w:szCs w:val="24"/>
        </w:rPr>
        <w:t>innych czynności zlecanych przez Prezesa Urzędu Ochrony Konkurencji</w:t>
      </w:r>
      <w:r>
        <w:rPr>
          <w:rFonts w:ascii="Times New Roman" w:hAnsi="Times New Roman"/>
          <w:sz w:val="24"/>
          <w:szCs w:val="24"/>
        </w:rPr>
        <w:br/>
      </w:r>
      <w:r w:rsidRPr="00911779">
        <w:rPr>
          <w:rFonts w:ascii="Times New Roman" w:hAnsi="Times New Roman"/>
          <w:sz w:val="24"/>
          <w:szCs w:val="24"/>
        </w:rPr>
        <w:t>i Konsumentów</w:t>
      </w:r>
      <w:r w:rsidR="006D71B7">
        <w:rPr>
          <w:rFonts w:ascii="Times New Roman" w:hAnsi="Times New Roman"/>
          <w:sz w:val="24"/>
          <w:szCs w:val="24"/>
        </w:rPr>
        <w:t xml:space="preserve"> –  m in. prowadzenie monitoringu cen żywności i paliw </w:t>
      </w:r>
      <w:r w:rsidRPr="00911779">
        <w:rPr>
          <w:rFonts w:ascii="Times New Roman" w:hAnsi="Times New Roman"/>
          <w:sz w:val="24"/>
          <w:szCs w:val="24"/>
        </w:rPr>
        <w:t>.</w:t>
      </w:r>
    </w:p>
    <w:p w14:paraId="3DEAFC44" w14:textId="77777777" w:rsidR="00E80632" w:rsidRPr="00121354" w:rsidRDefault="00E80632" w:rsidP="00E80632">
      <w:pPr>
        <w:ind w:left="1080"/>
        <w:jc w:val="both"/>
        <w:rPr>
          <w:sz w:val="28"/>
          <w:szCs w:val="28"/>
        </w:rPr>
      </w:pPr>
    </w:p>
    <w:p w14:paraId="7ADC8DFF" w14:textId="61965C40" w:rsidR="00E80632" w:rsidRDefault="00E80632" w:rsidP="00F377D9">
      <w:pPr>
        <w:pStyle w:val="Tekstpodstawowywcity22"/>
        <w:numPr>
          <w:ilvl w:val="0"/>
          <w:numId w:val="24"/>
        </w:numPr>
        <w:spacing w:before="0" w:after="0"/>
        <w:jc w:val="both"/>
        <w:rPr>
          <w:b/>
          <w:color w:val="323E4F" w:themeColor="text2" w:themeShade="BF"/>
          <w:sz w:val="28"/>
          <w:szCs w:val="28"/>
        </w:rPr>
      </w:pPr>
      <w:r w:rsidRPr="00A0065F">
        <w:rPr>
          <w:b/>
          <w:color w:val="323E4F" w:themeColor="text2" w:themeShade="BF"/>
          <w:sz w:val="28"/>
          <w:szCs w:val="28"/>
        </w:rPr>
        <w:t>Organizacja Wojewódzkiego Inspektoratu</w:t>
      </w:r>
    </w:p>
    <w:p w14:paraId="67FBF91A" w14:textId="77777777" w:rsidR="00C35370" w:rsidRPr="00A0065F" w:rsidRDefault="00C35370" w:rsidP="00C35370">
      <w:pPr>
        <w:pStyle w:val="Tekstpodstawowywcity22"/>
        <w:spacing w:before="0" w:after="0"/>
        <w:ind w:left="1080"/>
        <w:jc w:val="both"/>
        <w:rPr>
          <w:b/>
          <w:color w:val="323E4F" w:themeColor="text2" w:themeShade="BF"/>
          <w:sz w:val="28"/>
          <w:szCs w:val="28"/>
        </w:rPr>
      </w:pPr>
    </w:p>
    <w:p w14:paraId="7A4072E8" w14:textId="77777777" w:rsidR="00E80632" w:rsidRPr="00911779" w:rsidRDefault="00E80632" w:rsidP="00F377D9">
      <w:pPr>
        <w:pStyle w:val="Tekstpodstawowywcity22"/>
        <w:spacing w:before="0" w:after="0"/>
        <w:jc w:val="both"/>
      </w:pPr>
      <w:r w:rsidRPr="00911779">
        <w:t xml:space="preserve">Zadania w zakresie: </w:t>
      </w:r>
    </w:p>
    <w:p w14:paraId="1585377A" w14:textId="3F45F4EE" w:rsidR="00E80632" w:rsidRPr="00911779" w:rsidRDefault="00E80632" w:rsidP="00F377D9">
      <w:pPr>
        <w:pStyle w:val="Akapitzlist"/>
        <w:numPr>
          <w:ilvl w:val="0"/>
          <w:numId w:val="8"/>
        </w:numPr>
        <w:spacing w:after="0" w:line="240" w:lineRule="auto"/>
        <w:ind w:left="697" w:hanging="357"/>
        <w:jc w:val="both"/>
        <w:rPr>
          <w:rFonts w:eastAsia="Times New Roman"/>
        </w:rPr>
      </w:pPr>
      <w:r w:rsidRPr="00911779">
        <w:rPr>
          <w:rFonts w:ascii="Times New Roman" w:hAnsi="Times New Roman"/>
          <w:sz w:val="24"/>
          <w:szCs w:val="24"/>
        </w:rPr>
        <w:t>działalności merytorycznej realizowały Wydział</w:t>
      </w:r>
      <w:r w:rsidR="00121354">
        <w:rPr>
          <w:rFonts w:ascii="Times New Roman" w:hAnsi="Times New Roman"/>
          <w:sz w:val="24"/>
          <w:szCs w:val="24"/>
        </w:rPr>
        <w:t xml:space="preserve"> </w:t>
      </w:r>
      <w:r w:rsidRPr="00911779">
        <w:rPr>
          <w:rFonts w:ascii="Times New Roman" w:hAnsi="Times New Roman"/>
          <w:sz w:val="24"/>
          <w:szCs w:val="24"/>
        </w:rPr>
        <w:t xml:space="preserve">Kontroli Artykułów Nieżywnościowych i Usług, </w:t>
      </w:r>
      <w:r w:rsidR="00E0118F">
        <w:rPr>
          <w:rFonts w:ascii="Times New Roman" w:hAnsi="Times New Roman"/>
          <w:sz w:val="24"/>
          <w:szCs w:val="24"/>
        </w:rPr>
        <w:t xml:space="preserve">Wydział </w:t>
      </w:r>
      <w:r w:rsidR="005366A3">
        <w:rPr>
          <w:rFonts w:ascii="Times New Roman" w:hAnsi="Times New Roman"/>
          <w:sz w:val="24"/>
          <w:szCs w:val="24"/>
        </w:rPr>
        <w:t>Nadzoru Rynku i Kontroli Paliw</w:t>
      </w:r>
      <w:r w:rsidRPr="0091177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11779">
        <w:rPr>
          <w:rFonts w:ascii="Times New Roman" w:hAnsi="Times New Roman"/>
          <w:sz w:val="24"/>
          <w:szCs w:val="24"/>
        </w:rPr>
        <w:t xml:space="preserve">Delegatury w </w:t>
      </w:r>
      <w:r w:rsidR="005366A3">
        <w:rPr>
          <w:rFonts w:ascii="Times New Roman" w:hAnsi="Times New Roman"/>
          <w:sz w:val="24"/>
          <w:szCs w:val="24"/>
        </w:rPr>
        <w:t xml:space="preserve">Suwałkach i Łomży </w:t>
      </w:r>
      <w:r w:rsidRPr="00911779">
        <w:rPr>
          <w:rFonts w:ascii="Times New Roman" w:hAnsi="Times New Roman"/>
          <w:sz w:val="24"/>
          <w:szCs w:val="24"/>
        </w:rPr>
        <w:t>oraz Stały Sąd Polubowny</w:t>
      </w:r>
      <w:r w:rsidRPr="005366A3">
        <w:rPr>
          <w:rFonts w:ascii="Times New Roman" w:hAnsi="Times New Roman"/>
          <w:sz w:val="24"/>
          <w:szCs w:val="24"/>
        </w:rPr>
        <w:t>,</w:t>
      </w:r>
      <w:r w:rsidR="00E0118F">
        <w:rPr>
          <w:rFonts w:ascii="Times New Roman" w:hAnsi="Times New Roman"/>
          <w:sz w:val="24"/>
          <w:szCs w:val="24"/>
        </w:rPr>
        <w:t xml:space="preserve"> Wydział Prawno-Organizacyjny,</w:t>
      </w:r>
    </w:p>
    <w:p w14:paraId="32AE0D47" w14:textId="03DBD37C" w:rsidR="00E80632" w:rsidRPr="00911779" w:rsidRDefault="00E80632" w:rsidP="00F377D9">
      <w:pPr>
        <w:pStyle w:val="Akapitzlist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11779">
        <w:rPr>
          <w:rFonts w:ascii="Times New Roman" w:eastAsia="Times New Roman" w:hAnsi="Times New Roman"/>
          <w:sz w:val="24"/>
          <w:szCs w:val="24"/>
          <w:lang w:eastAsia="zh-CN"/>
        </w:rPr>
        <w:t>obsługi organizacyjnej i prawnej Wydziały: Budżetowo</w:t>
      </w:r>
      <w:r w:rsidR="00911D2E">
        <w:rPr>
          <w:rFonts w:ascii="Times New Roman" w:eastAsia="Times New Roman" w:hAnsi="Times New Roman"/>
          <w:sz w:val="24"/>
          <w:szCs w:val="24"/>
          <w:lang w:eastAsia="zh-CN"/>
        </w:rPr>
        <w:t xml:space="preserve"> –</w:t>
      </w:r>
      <w:r w:rsidRPr="00911779">
        <w:rPr>
          <w:rFonts w:ascii="Times New Roman" w:eastAsia="Times New Roman" w:hAnsi="Times New Roman"/>
          <w:sz w:val="24"/>
          <w:szCs w:val="24"/>
          <w:lang w:eastAsia="zh-CN"/>
        </w:rPr>
        <w:t xml:space="preserve"> Administracyjny oraz Prawno – Organizacyjny.</w:t>
      </w:r>
    </w:p>
    <w:p w14:paraId="47B342F8" w14:textId="77777777" w:rsidR="00E80632" w:rsidRPr="00121354" w:rsidRDefault="00E80632" w:rsidP="00E80632">
      <w:pPr>
        <w:spacing w:line="276" w:lineRule="auto"/>
        <w:jc w:val="both"/>
        <w:rPr>
          <w:rFonts w:eastAsia="Times New Roman"/>
          <w:sz w:val="28"/>
          <w:szCs w:val="28"/>
        </w:rPr>
      </w:pPr>
    </w:p>
    <w:p w14:paraId="431CF803" w14:textId="4CABB187" w:rsidR="00E80632" w:rsidRPr="00A0065F" w:rsidRDefault="00E80632" w:rsidP="00F377D9">
      <w:pPr>
        <w:pStyle w:val="Tekstpodstawowy"/>
        <w:numPr>
          <w:ilvl w:val="0"/>
          <w:numId w:val="24"/>
        </w:numPr>
        <w:jc w:val="left"/>
        <w:rPr>
          <w:b/>
          <w:color w:val="323E4F" w:themeColor="text2" w:themeShade="BF"/>
          <w:sz w:val="28"/>
          <w:szCs w:val="28"/>
        </w:rPr>
      </w:pPr>
      <w:r w:rsidRPr="00A0065F">
        <w:rPr>
          <w:b/>
          <w:color w:val="323E4F" w:themeColor="text2" w:themeShade="BF"/>
          <w:sz w:val="28"/>
          <w:szCs w:val="28"/>
        </w:rPr>
        <w:t>Działalność kontrolna</w:t>
      </w:r>
    </w:p>
    <w:p w14:paraId="496375B6" w14:textId="77777777" w:rsidR="00E80632" w:rsidRPr="00121354" w:rsidRDefault="00E80632" w:rsidP="00F377D9">
      <w:pPr>
        <w:pStyle w:val="Tekstpodstawowy"/>
        <w:ind w:left="360"/>
        <w:jc w:val="left"/>
        <w:rPr>
          <w:b/>
        </w:rPr>
      </w:pPr>
    </w:p>
    <w:p w14:paraId="4F5D9DD3" w14:textId="77777777" w:rsidR="00E0118F" w:rsidRPr="000503D0" w:rsidRDefault="00E80632" w:rsidP="00F377D9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18F">
        <w:rPr>
          <w:rFonts w:ascii="Times New Roman" w:hAnsi="Times New Roman"/>
          <w:b/>
          <w:sz w:val="28"/>
          <w:szCs w:val="28"/>
        </w:rPr>
        <w:t xml:space="preserve">Charakterystyka form i obszary działania kontrolowanych podmiotów. </w:t>
      </w:r>
    </w:p>
    <w:p w14:paraId="69BE7BC0" w14:textId="77777777" w:rsidR="000503D0" w:rsidRDefault="000503D0" w:rsidP="000503D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912940" w14:textId="57EA3770" w:rsidR="00E80632" w:rsidRPr="00E0118F" w:rsidRDefault="00E80632" w:rsidP="00F377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18F">
        <w:rPr>
          <w:rFonts w:ascii="Times New Roman" w:hAnsi="Times New Roman"/>
          <w:sz w:val="24"/>
          <w:szCs w:val="24"/>
        </w:rPr>
        <w:t xml:space="preserve">Działalność inspekcyjną prowadzono w oparciu o plany </w:t>
      </w:r>
      <w:r w:rsidR="005366A3" w:rsidRPr="00E0118F">
        <w:rPr>
          <w:rFonts w:ascii="Times New Roman" w:hAnsi="Times New Roman"/>
          <w:sz w:val="24"/>
          <w:szCs w:val="24"/>
        </w:rPr>
        <w:t>pracy</w:t>
      </w:r>
      <w:r w:rsidRPr="00E0118F">
        <w:rPr>
          <w:rFonts w:ascii="Times New Roman" w:hAnsi="Times New Roman"/>
          <w:sz w:val="24"/>
          <w:szCs w:val="24"/>
        </w:rPr>
        <w:t xml:space="preserve"> ujmujące kontrole: zlecone przez Prezesa UOKiK i inne organy, kontrole</w:t>
      </w:r>
      <w:r w:rsidR="00F01385" w:rsidRPr="00E0118F">
        <w:rPr>
          <w:rFonts w:ascii="Times New Roman" w:hAnsi="Times New Roman"/>
          <w:sz w:val="24"/>
          <w:szCs w:val="24"/>
        </w:rPr>
        <w:t xml:space="preserve"> własne oraz doraźne wynikające </w:t>
      </w:r>
      <w:r w:rsidRPr="00E0118F">
        <w:rPr>
          <w:rFonts w:ascii="Times New Roman" w:hAnsi="Times New Roman"/>
          <w:sz w:val="24"/>
          <w:szCs w:val="24"/>
        </w:rPr>
        <w:t xml:space="preserve">z bieżących potrzeb. Plany określały tematy kontroli oraz ich zakres. </w:t>
      </w:r>
    </w:p>
    <w:p w14:paraId="73283081" w14:textId="4A773164" w:rsidR="00F01385" w:rsidRDefault="00E80632" w:rsidP="00F377D9">
      <w:pPr>
        <w:jc w:val="both"/>
      </w:pPr>
      <w:r w:rsidRPr="003510BE">
        <w:t>W 20</w:t>
      </w:r>
      <w:r>
        <w:t>2</w:t>
      </w:r>
      <w:r w:rsidR="005366A3">
        <w:t>1</w:t>
      </w:r>
      <w:r w:rsidRPr="003510BE">
        <w:t xml:space="preserve"> r. przeprowadzon</w:t>
      </w:r>
      <w:r>
        <w:t xml:space="preserve">o łącznie </w:t>
      </w:r>
      <w:r w:rsidRPr="00B63E4F">
        <w:rPr>
          <w:b/>
        </w:rPr>
        <w:t>6</w:t>
      </w:r>
      <w:r w:rsidR="005366A3" w:rsidRPr="00B63E4F">
        <w:rPr>
          <w:b/>
        </w:rPr>
        <w:t>71</w:t>
      </w:r>
      <w:r w:rsidRPr="00B63E4F">
        <w:rPr>
          <w:b/>
          <w:color w:val="FF0000"/>
        </w:rPr>
        <w:t xml:space="preserve"> </w:t>
      </w:r>
      <w:r w:rsidRPr="00B63E4F">
        <w:rPr>
          <w:b/>
        </w:rPr>
        <w:t>kontroli</w:t>
      </w:r>
      <w:r w:rsidR="00835C8A">
        <w:rPr>
          <w:b/>
        </w:rPr>
        <w:t xml:space="preserve"> </w:t>
      </w:r>
      <w:r w:rsidR="00835C8A" w:rsidRPr="00835C8A">
        <w:t>(657 w 2020 r.)</w:t>
      </w:r>
      <w:r w:rsidR="00E0118F">
        <w:t>,</w:t>
      </w:r>
      <w:r w:rsidR="000503D0">
        <w:t xml:space="preserve"> w tym n</w:t>
      </w:r>
      <w:r w:rsidR="000503D0" w:rsidRPr="008374A9">
        <w:t xml:space="preserve">a zlecenie Prezesa UOKiK, w </w:t>
      </w:r>
      <w:r w:rsidR="000503D0" w:rsidRPr="00632949">
        <w:rPr>
          <w:b/>
        </w:rPr>
        <w:t xml:space="preserve">5 placówkach </w:t>
      </w:r>
      <w:r w:rsidR="000503D0" w:rsidRPr="008374A9">
        <w:t>należących do sieci handlowych dokonano ustalenia stanu faktycznego w zakresie rzetelności podawania informacji o kraju pochodzenia świeżych owoców i warzyw</w:t>
      </w:r>
      <w:r w:rsidR="000503D0">
        <w:t>. P</w:t>
      </w:r>
      <w:r w:rsidR="00E0118F">
        <w:t>onadto p</w:t>
      </w:r>
      <w:r w:rsidR="00F01385" w:rsidRPr="00F01385">
        <w:t>odejmowano dodatkowe działania, mianowicie:</w:t>
      </w:r>
    </w:p>
    <w:p w14:paraId="14280C5F" w14:textId="77777777" w:rsidR="006D71B7" w:rsidRPr="00F01385" w:rsidRDefault="006D71B7" w:rsidP="00F377D9">
      <w:pPr>
        <w:jc w:val="both"/>
      </w:pPr>
    </w:p>
    <w:p w14:paraId="397411D1" w14:textId="2A0A5DAC" w:rsidR="00F01385" w:rsidRPr="00F01385" w:rsidRDefault="00B63E4F" w:rsidP="00F377D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01385" w:rsidRPr="00F01385">
        <w:rPr>
          <w:rFonts w:ascii="Times New Roman" w:hAnsi="Times New Roman"/>
          <w:sz w:val="24"/>
          <w:szCs w:val="24"/>
        </w:rPr>
        <w:t>d dnia 09.12.2021 r., w związku ze zleceniem Prezesa UOKiK</w:t>
      </w:r>
      <w:r>
        <w:rPr>
          <w:rFonts w:ascii="Times New Roman" w:hAnsi="Times New Roman"/>
          <w:sz w:val="24"/>
          <w:szCs w:val="24"/>
        </w:rPr>
        <w:t>,</w:t>
      </w:r>
      <w:r w:rsidR="00F01385" w:rsidRPr="00F01385">
        <w:rPr>
          <w:rFonts w:ascii="Times New Roman" w:hAnsi="Times New Roman"/>
          <w:sz w:val="24"/>
          <w:szCs w:val="24"/>
        </w:rPr>
        <w:t xml:space="preserve"> w </w:t>
      </w:r>
      <w:r w:rsidR="00F01385" w:rsidRPr="00B63E4F">
        <w:rPr>
          <w:rFonts w:ascii="Times New Roman" w:hAnsi="Times New Roman"/>
          <w:b/>
          <w:sz w:val="24"/>
          <w:szCs w:val="24"/>
        </w:rPr>
        <w:t>60 stacjach paliw</w:t>
      </w:r>
      <w:r w:rsidR="00F01385" w:rsidRPr="00F01385">
        <w:rPr>
          <w:rFonts w:ascii="Times New Roman" w:hAnsi="Times New Roman"/>
          <w:sz w:val="24"/>
          <w:szCs w:val="24"/>
        </w:rPr>
        <w:t xml:space="preserve"> znajdujących się w wojew</w:t>
      </w:r>
      <w:r>
        <w:rPr>
          <w:rFonts w:ascii="Times New Roman" w:hAnsi="Times New Roman"/>
          <w:sz w:val="24"/>
          <w:szCs w:val="24"/>
        </w:rPr>
        <w:t>ództwie podlaskim,</w:t>
      </w:r>
      <w:r w:rsidR="00F01385" w:rsidRPr="00F01385">
        <w:rPr>
          <w:rFonts w:ascii="Times New Roman" w:hAnsi="Times New Roman"/>
          <w:sz w:val="24"/>
          <w:szCs w:val="24"/>
        </w:rPr>
        <w:t xml:space="preserve"> </w:t>
      </w:r>
      <w:r w:rsidR="00F01385" w:rsidRPr="00B63E4F">
        <w:rPr>
          <w:rFonts w:ascii="Times New Roman" w:hAnsi="Times New Roman"/>
          <w:b/>
          <w:sz w:val="24"/>
          <w:szCs w:val="24"/>
        </w:rPr>
        <w:t>monitorowano</w:t>
      </w:r>
      <w:r w:rsidRPr="00B63E4F">
        <w:rPr>
          <w:rFonts w:ascii="Times New Roman" w:hAnsi="Times New Roman"/>
          <w:b/>
          <w:sz w:val="24"/>
          <w:szCs w:val="24"/>
        </w:rPr>
        <w:t xml:space="preserve"> ceny paliw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związku z wprowadzeniem obniżonej akcyzy na paliwa; działania te są kontynuowane w 2022</w:t>
      </w:r>
      <w:r w:rsidR="00F01385" w:rsidRPr="00F0138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oku</w:t>
      </w:r>
      <w:r w:rsidR="00632949">
        <w:rPr>
          <w:rFonts w:ascii="Times New Roman" w:hAnsi="Times New Roman"/>
          <w:sz w:val="24"/>
          <w:szCs w:val="24"/>
        </w:rPr>
        <w:t xml:space="preserve"> również w zakresie obniżenia podatku VAT</w:t>
      </w:r>
      <w:r>
        <w:rPr>
          <w:rFonts w:ascii="Times New Roman" w:hAnsi="Times New Roman"/>
          <w:sz w:val="24"/>
          <w:szCs w:val="24"/>
        </w:rPr>
        <w:t xml:space="preserve">. </w:t>
      </w:r>
      <w:r w:rsidR="00F01385" w:rsidRPr="00F01385">
        <w:rPr>
          <w:rFonts w:ascii="Times New Roman" w:hAnsi="Times New Roman"/>
          <w:sz w:val="24"/>
          <w:szCs w:val="24"/>
        </w:rPr>
        <w:t xml:space="preserve"> </w:t>
      </w:r>
    </w:p>
    <w:p w14:paraId="7971E473" w14:textId="2BAFB10B" w:rsidR="00F01385" w:rsidRPr="00F01385" w:rsidRDefault="00B63E4F" w:rsidP="00F377D9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F01385" w:rsidRPr="00F01385">
        <w:rPr>
          <w:rFonts w:ascii="Times New Roman" w:eastAsia="Times New Roman" w:hAnsi="Times New Roman"/>
          <w:sz w:val="24"/>
          <w:szCs w:val="24"/>
        </w:rPr>
        <w:t xml:space="preserve">rzeprowadzono łącznie </w:t>
      </w:r>
      <w:r w:rsidR="00F01385" w:rsidRPr="00B63E4F">
        <w:rPr>
          <w:rFonts w:ascii="Times New Roman" w:eastAsia="Times New Roman" w:hAnsi="Times New Roman"/>
          <w:b/>
          <w:sz w:val="24"/>
          <w:szCs w:val="24"/>
        </w:rPr>
        <w:t>98 rozeznań rynku</w:t>
      </w:r>
      <w:r w:rsidR="00F01385" w:rsidRPr="00F01385">
        <w:rPr>
          <w:rFonts w:ascii="Times New Roman" w:eastAsia="Times New Roman" w:hAnsi="Times New Roman"/>
          <w:sz w:val="24"/>
          <w:szCs w:val="24"/>
        </w:rPr>
        <w:t xml:space="preserve"> zleconych przez Prezesa UOKiK</w:t>
      </w:r>
      <w:r w:rsidR="00632949">
        <w:rPr>
          <w:rFonts w:ascii="Times New Roman" w:eastAsia="Times New Roman" w:hAnsi="Times New Roman"/>
          <w:sz w:val="24"/>
          <w:szCs w:val="24"/>
        </w:rPr>
        <w:t xml:space="preserve"> w ramach projektu „UOKiK testuje”</w:t>
      </w:r>
      <w:r w:rsidR="00F01385" w:rsidRPr="00F01385">
        <w:rPr>
          <w:rFonts w:ascii="Times New Roman" w:eastAsia="Times New Roman" w:hAnsi="Times New Roman"/>
          <w:sz w:val="24"/>
          <w:szCs w:val="24"/>
        </w:rPr>
        <w:t xml:space="preserve">, w toku których zbadano </w:t>
      </w:r>
      <w:r w:rsidR="00F01385" w:rsidRPr="00632949">
        <w:rPr>
          <w:rFonts w:ascii="Times New Roman" w:eastAsia="Times New Roman" w:hAnsi="Times New Roman"/>
          <w:b/>
          <w:sz w:val="24"/>
          <w:szCs w:val="24"/>
        </w:rPr>
        <w:t>292 produkty</w:t>
      </w:r>
      <w:r w:rsidR="00F01385" w:rsidRPr="00F01385">
        <w:rPr>
          <w:rFonts w:ascii="Times New Roman" w:eastAsia="Times New Roman" w:hAnsi="Times New Roman"/>
          <w:sz w:val="24"/>
          <w:szCs w:val="24"/>
        </w:rPr>
        <w:t xml:space="preserve">, w zakresie: </w:t>
      </w:r>
    </w:p>
    <w:p w14:paraId="21560EEF" w14:textId="4F3A6296" w:rsidR="00F01385" w:rsidRPr="00F01385" w:rsidRDefault="00632949" w:rsidP="00F377D9">
      <w:pPr>
        <w:numPr>
          <w:ilvl w:val="0"/>
          <w:numId w:val="19"/>
        </w:numPr>
        <w:suppressAutoHyphens/>
        <w:ind w:left="993" w:hanging="35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spodni </w:t>
      </w:r>
      <w:proofErr w:type="spellStart"/>
      <w:r>
        <w:rPr>
          <w:rFonts w:eastAsia="Times New Roman"/>
          <w:lang w:eastAsia="ar-SA"/>
        </w:rPr>
        <w:t>jeansowych</w:t>
      </w:r>
      <w:proofErr w:type="spellEnd"/>
      <w:r>
        <w:rPr>
          <w:rFonts w:eastAsia="Times New Roman"/>
          <w:lang w:eastAsia="ar-SA"/>
        </w:rPr>
        <w:t xml:space="preserve"> </w:t>
      </w:r>
      <w:r w:rsidR="00F01385" w:rsidRPr="00F01385">
        <w:rPr>
          <w:rFonts w:eastAsia="Times New Roman"/>
          <w:lang w:eastAsia="ar-SA"/>
        </w:rPr>
        <w:t xml:space="preserve"> męskich,</w:t>
      </w:r>
    </w:p>
    <w:p w14:paraId="7D87A3BD" w14:textId="638C7B26" w:rsidR="00F01385" w:rsidRPr="00F01385" w:rsidRDefault="00F01385" w:rsidP="00F377D9">
      <w:pPr>
        <w:numPr>
          <w:ilvl w:val="0"/>
          <w:numId w:val="19"/>
        </w:numPr>
        <w:suppressAutoHyphens/>
        <w:ind w:left="993" w:hanging="357"/>
        <w:jc w:val="both"/>
        <w:rPr>
          <w:rFonts w:eastAsia="Times New Roman"/>
          <w:lang w:eastAsia="ar-SA"/>
        </w:rPr>
      </w:pPr>
      <w:r w:rsidRPr="00F01385">
        <w:rPr>
          <w:rFonts w:eastAsia="Times New Roman"/>
          <w:lang w:eastAsia="ar-SA"/>
        </w:rPr>
        <w:t xml:space="preserve"> kubków termicznych,</w:t>
      </w:r>
    </w:p>
    <w:p w14:paraId="57A17D59" w14:textId="49CD3781" w:rsidR="00F01385" w:rsidRPr="00F01385" w:rsidRDefault="00F01385" w:rsidP="00F377D9">
      <w:pPr>
        <w:numPr>
          <w:ilvl w:val="0"/>
          <w:numId w:val="19"/>
        </w:numPr>
        <w:suppressAutoHyphens/>
        <w:ind w:left="993" w:hanging="357"/>
        <w:jc w:val="both"/>
        <w:rPr>
          <w:rFonts w:eastAsia="Times New Roman"/>
          <w:lang w:eastAsia="ar-SA"/>
        </w:rPr>
      </w:pPr>
      <w:r w:rsidRPr="00F01385">
        <w:rPr>
          <w:rFonts w:eastAsia="Times New Roman"/>
          <w:lang w:eastAsia="ar-SA"/>
        </w:rPr>
        <w:t xml:space="preserve"> tornistrów szkolnych,</w:t>
      </w:r>
    </w:p>
    <w:p w14:paraId="6952AA8D" w14:textId="757CCB95" w:rsidR="00F01385" w:rsidRPr="00F01385" w:rsidRDefault="00F01385" w:rsidP="00F377D9">
      <w:pPr>
        <w:numPr>
          <w:ilvl w:val="0"/>
          <w:numId w:val="19"/>
        </w:numPr>
        <w:suppressAutoHyphens/>
        <w:ind w:left="993" w:hanging="357"/>
        <w:jc w:val="both"/>
        <w:rPr>
          <w:rFonts w:eastAsia="Times New Roman"/>
          <w:lang w:eastAsia="ar-SA"/>
        </w:rPr>
      </w:pPr>
      <w:r w:rsidRPr="00F01385">
        <w:rPr>
          <w:rFonts w:eastAsia="Times New Roman"/>
          <w:lang w:eastAsia="ar-SA"/>
        </w:rPr>
        <w:t xml:space="preserve"> płynów do spryskiwaczy,</w:t>
      </w:r>
    </w:p>
    <w:p w14:paraId="11433EA0" w14:textId="207F8F44" w:rsidR="00F01385" w:rsidRPr="000503D0" w:rsidRDefault="00F01385" w:rsidP="000503D0">
      <w:pPr>
        <w:numPr>
          <w:ilvl w:val="0"/>
          <w:numId w:val="19"/>
        </w:numPr>
        <w:suppressAutoHyphens/>
        <w:ind w:left="993" w:hanging="357"/>
        <w:jc w:val="both"/>
        <w:rPr>
          <w:rFonts w:eastAsia="Times New Roman"/>
          <w:lang w:eastAsia="ar-SA"/>
        </w:rPr>
      </w:pPr>
      <w:r w:rsidRPr="00F01385">
        <w:rPr>
          <w:rFonts w:eastAsia="Times New Roman"/>
          <w:lang w:eastAsia="ar-SA"/>
        </w:rPr>
        <w:t xml:space="preserve">kapsułek do prania tkanin kolorowych, </w:t>
      </w:r>
    </w:p>
    <w:p w14:paraId="6D51F62B" w14:textId="49F697BD" w:rsidR="008924E7" w:rsidRPr="008924E7" w:rsidRDefault="00632949" w:rsidP="00856DF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wnioskami z posiedzenia Wojewódzkiego Zespołu Zarządzania Kryzysowego, mając na względzie aktualną sytuację epidemiczną, aby zminimalizować 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możliwość dalszego, szybkiego rozprzest</w:t>
      </w:r>
      <w:r w:rsidR="004E3CF4">
        <w:rPr>
          <w:rFonts w:ascii="Times New Roman" w:eastAsia="Times New Roman" w:hAnsi="Times New Roman"/>
          <w:sz w:val="24"/>
          <w:szCs w:val="24"/>
          <w:lang w:eastAsia="pl-PL"/>
        </w:rPr>
        <w:t xml:space="preserve">rzeniania się zakażeń </w:t>
      </w:r>
      <w:proofErr w:type="spellStart"/>
      <w:r w:rsidR="004E3CF4">
        <w:rPr>
          <w:rFonts w:ascii="Times New Roman" w:eastAsia="Times New Roman" w:hAnsi="Times New Roman"/>
          <w:sz w:val="24"/>
          <w:szCs w:val="24"/>
          <w:lang w:eastAsia="pl-PL"/>
        </w:rPr>
        <w:t>korona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>wirusem</w:t>
      </w:r>
      <w:proofErr w:type="spellEnd"/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 SARS-CoV-2</w:t>
      </w:r>
      <w:r w:rsidR="006D71B7">
        <w:rPr>
          <w:rFonts w:ascii="Times New Roman" w:eastAsia="Times New Roman" w:hAnsi="Times New Roman"/>
          <w:sz w:val="24"/>
          <w:szCs w:val="24"/>
          <w:lang w:eastAsia="pl-PL"/>
        </w:rPr>
        <w:t>, w celu wsparcia działań Policji i organów sanitarnych,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województwa przeprowadz</w:t>
      </w:r>
      <w:r w:rsidR="006D71B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no 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>monitoring placówek handlowych na terenie miast</w:t>
      </w:r>
      <w:r w:rsidR="001D077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 Białystok</w:t>
      </w:r>
      <w:r w:rsidR="001D077D">
        <w:rPr>
          <w:rFonts w:ascii="Times New Roman" w:eastAsia="Times New Roman" w:hAnsi="Times New Roman"/>
          <w:sz w:val="24"/>
          <w:szCs w:val="24"/>
          <w:lang w:eastAsia="pl-PL"/>
        </w:rPr>
        <w:t>, Łomża, Suwałki, Grajewo, Hajnówka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D077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227935">
        <w:rPr>
          <w:rFonts w:ascii="Times New Roman" w:eastAsia="Times New Roman" w:hAnsi="Times New Roman"/>
          <w:sz w:val="24"/>
          <w:szCs w:val="24"/>
          <w:lang w:eastAsia="pl-PL"/>
        </w:rPr>
        <w:t xml:space="preserve">prawdzeniem objęto </w:t>
      </w:r>
      <w:r w:rsidR="001D077D" w:rsidRPr="00632949">
        <w:rPr>
          <w:rFonts w:ascii="Times New Roman" w:eastAsia="Times New Roman" w:hAnsi="Times New Roman"/>
          <w:b/>
          <w:sz w:val="24"/>
          <w:szCs w:val="24"/>
          <w:lang w:eastAsia="pl-PL"/>
        </w:rPr>
        <w:t>315 placówek</w:t>
      </w:r>
      <w:r w:rsidR="001D077D">
        <w:rPr>
          <w:rFonts w:ascii="Times New Roman" w:eastAsia="Times New Roman" w:hAnsi="Times New Roman"/>
          <w:sz w:val="24"/>
          <w:szCs w:val="24"/>
          <w:lang w:eastAsia="pl-PL"/>
        </w:rPr>
        <w:t>, u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>stalenia dotycz</w:t>
      </w:r>
      <w:r w:rsidR="001D077D">
        <w:rPr>
          <w:rFonts w:ascii="Times New Roman" w:eastAsia="Times New Roman" w:hAnsi="Times New Roman"/>
          <w:sz w:val="24"/>
          <w:szCs w:val="24"/>
          <w:lang w:eastAsia="pl-PL"/>
        </w:rPr>
        <w:t>yły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 osób wykonując</w:t>
      </w:r>
      <w:r w:rsidR="001D077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1D077D" w:rsidRP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 bezpośrednią obsługę klientów w czasie jej wykonywania.</w:t>
      </w:r>
      <w:r w:rsidR="001D077D">
        <w:rPr>
          <w:rFonts w:ascii="Times New Roman" w:eastAsia="Times New Roman" w:hAnsi="Times New Roman"/>
          <w:sz w:val="24"/>
          <w:szCs w:val="24"/>
          <w:lang w:eastAsia="pl-PL"/>
        </w:rPr>
        <w:t xml:space="preserve"> W wyniku powyższych działań przekazano do </w:t>
      </w:r>
      <w:r w:rsidR="001D077D" w:rsidRPr="008924E7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zgodnie z kompetencjami: </w:t>
      </w:r>
      <w:r w:rsidR="001D077D" w:rsidRPr="008924E7">
        <w:rPr>
          <w:rFonts w:ascii="Times New Roman" w:eastAsia="Times New Roman" w:hAnsi="Times New Roman"/>
          <w:b/>
          <w:sz w:val="24"/>
          <w:szCs w:val="24"/>
          <w:lang w:eastAsia="pl-PL"/>
        </w:rPr>
        <w:t>14 informacji</w:t>
      </w:r>
      <w:r w:rsidR="001D077D" w:rsidRPr="008924E7">
        <w:rPr>
          <w:rFonts w:ascii="Times New Roman" w:eastAsia="Times New Roman" w:hAnsi="Times New Roman"/>
          <w:sz w:val="24"/>
          <w:szCs w:val="24"/>
          <w:lang w:eastAsia="pl-PL"/>
        </w:rPr>
        <w:t xml:space="preserve"> do Powiatowych Stacji Sanitarno-Epidemiologicznych oraz </w:t>
      </w:r>
      <w:r w:rsidR="001D077D" w:rsidRPr="008924E7">
        <w:rPr>
          <w:rFonts w:ascii="Times New Roman" w:eastAsia="Times New Roman" w:hAnsi="Times New Roman"/>
          <w:b/>
          <w:sz w:val="24"/>
          <w:szCs w:val="24"/>
          <w:lang w:eastAsia="pl-PL"/>
        </w:rPr>
        <w:t>14 informacji</w:t>
      </w:r>
      <w:r w:rsidR="001D077D" w:rsidRPr="008924E7">
        <w:rPr>
          <w:rFonts w:ascii="Times New Roman" w:eastAsia="Times New Roman" w:hAnsi="Times New Roman"/>
          <w:sz w:val="24"/>
          <w:szCs w:val="24"/>
          <w:lang w:eastAsia="pl-PL"/>
        </w:rPr>
        <w:t xml:space="preserve"> do Komend Miejskich Policji na terenie województwa podlaskiego</w:t>
      </w:r>
      <w:r w:rsidR="006D71B7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62614363" w14:textId="04D8F3E6" w:rsidR="008924E7" w:rsidRPr="008924E7" w:rsidRDefault="008924E7" w:rsidP="00856DF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8924E7">
        <w:rPr>
          <w:rFonts w:ascii="Times New Roman" w:eastAsia="Times New Roman" w:hAnsi="Times New Roman"/>
          <w:sz w:val="24"/>
          <w:szCs w:val="24"/>
          <w:lang w:eastAsia="pl-PL"/>
        </w:rPr>
        <w:t xml:space="preserve">we współpracy z organami celnymi wdrożono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</w:t>
      </w:r>
      <w:r w:rsidRPr="008924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ystem Single </w:t>
      </w:r>
      <w:proofErr w:type="spellStart"/>
      <w:r w:rsidRPr="008924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window</w:t>
      </w:r>
      <w:proofErr w:type="spellEnd"/>
      <w:r w:rsidR="005716DE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jest </w:t>
      </w:r>
      <w:r w:rsidRPr="008924E7">
        <w:rPr>
          <w:rFonts w:ascii="Times New Roman" w:eastAsia="Times New Roman" w:hAnsi="Times New Roman"/>
          <w:sz w:val="24"/>
          <w:szCs w:val="24"/>
          <w:lang w:eastAsia="pl-PL"/>
        </w:rPr>
        <w:t>związany z przewożeniem towarów przez granicę zewnętrzną Unii</w:t>
      </w:r>
      <w:r w:rsidR="007645AB">
        <w:rPr>
          <w:rFonts w:ascii="Times New Roman" w:eastAsia="Times New Roman" w:hAnsi="Times New Roman"/>
          <w:sz w:val="24"/>
          <w:szCs w:val="24"/>
          <w:lang w:eastAsia="pl-PL"/>
        </w:rPr>
        <w:t xml:space="preserve"> i oceną ich pod kątem zgodności z wymaganiami dyrektyw UE</w:t>
      </w:r>
      <w:r w:rsidR="005716D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7554FBC" w14:textId="49C6DB56" w:rsidR="008374A9" w:rsidRPr="008924E7" w:rsidRDefault="008924E7" w:rsidP="00856DF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8924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16DE">
        <w:rPr>
          <w:rFonts w:ascii="Times New Roman" w:hAnsi="Times New Roman"/>
          <w:sz w:val="24"/>
          <w:szCs w:val="24"/>
        </w:rPr>
        <w:t>wdrożono</w:t>
      </w:r>
      <w:r w:rsidRPr="008924E7">
        <w:rPr>
          <w:rFonts w:ascii="Times New Roman" w:hAnsi="Times New Roman"/>
          <w:b/>
          <w:bCs/>
          <w:sz w:val="24"/>
          <w:szCs w:val="24"/>
        </w:rPr>
        <w:t xml:space="preserve"> system ICSMS</w:t>
      </w:r>
      <w:r w:rsidR="007645AB">
        <w:rPr>
          <w:rFonts w:ascii="Times New Roman" w:hAnsi="Times New Roman"/>
          <w:b/>
          <w:bCs/>
          <w:sz w:val="24"/>
          <w:szCs w:val="24"/>
        </w:rPr>
        <w:t>,</w:t>
      </w:r>
      <w:r w:rsidR="007645AB">
        <w:rPr>
          <w:rFonts w:ascii="Times New Roman" w:hAnsi="Times New Roman"/>
          <w:sz w:val="24"/>
          <w:szCs w:val="24"/>
        </w:rPr>
        <w:t xml:space="preserve"> służący</w:t>
      </w:r>
      <w:r w:rsidRPr="008924E7">
        <w:rPr>
          <w:rFonts w:ascii="Times New Roman" w:hAnsi="Times New Roman"/>
          <w:sz w:val="24"/>
          <w:szCs w:val="24"/>
        </w:rPr>
        <w:t xml:space="preserve"> do wymiany przez właściwe organy</w:t>
      </w:r>
      <w:r w:rsidR="007645AB">
        <w:rPr>
          <w:rFonts w:ascii="Times New Roman" w:hAnsi="Times New Roman"/>
          <w:sz w:val="24"/>
          <w:szCs w:val="24"/>
        </w:rPr>
        <w:t xml:space="preserve"> nadzoru rynku</w:t>
      </w:r>
      <w:r w:rsidRPr="008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krajach członkowskich UE </w:t>
      </w:r>
      <w:r w:rsidRPr="008924E7">
        <w:rPr>
          <w:rFonts w:ascii="Times New Roman" w:hAnsi="Times New Roman"/>
          <w:sz w:val="24"/>
          <w:szCs w:val="24"/>
        </w:rPr>
        <w:t>informacji o pro</w:t>
      </w:r>
      <w:r w:rsidR="007645AB">
        <w:rPr>
          <w:rFonts w:ascii="Times New Roman" w:hAnsi="Times New Roman"/>
          <w:sz w:val="24"/>
          <w:szCs w:val="24"/>
        </w:rPr>
        <w:t>duktach niespełniających wymagań dyrektyw UE</w:t>
      </w:r>
      <w:r w:rsidRPr="008924E7">
        <w:rPr>
          <w:rFonts w:ascii="Times New Roman" w:hAnsi="Times New Roman"/>
          <w:sz w:val="24"/>
          <w:szCs w:val="24"/>
        </w:rPr>
        <w:t>, wynikach</w:t>
      </w:r>
      <w:r w:rsidR="007645AB">
        <w:rPr>
          <w:rFonts w:ascii="Times New Roman" w:hAnsi="Times New Roman"/>
          <w:sz w:val="24"/>
          <w:szCs w:val="24"/>
        </w:rPr>
        <w:t xml:space="preserve"> kontroli </w:t>
      </w:r>
      <w:r w:rsidRPr="008924E7">
        <w:rPr>
          <w:rFonts w:ascii="Times New Roman" w:hAnsi="Times New Roman"/>
          <w:sz w:val="24"/>
          <w:szCs w:val="24"/>
        </w:rPr>
        <w:t xml:space="preserve"> i</w:t>
      </w:r>
      <w:r w:rsidR="007645AB">
        <w:rPr>
          <w:rFonts w:ascii="Times New Roman" w:hAnsi="Times New Roman"/>
          <w:sz w:val="24"/>
          <w:szCs w:val="24"/>
        </w:rPr>
        <w:t xml:space="preserve">  podjętych działaniach</w:t>
      </w:r>
      <w:r w:rsidRPr="008924E7">
        <w:rPr>
          <w:rFonts w:ascii="Times New Roman" w:hAnsi="Times New Roman"/>
          <w:sz w:val="24"/>
          <w:szCs w:val="24"/>
        </w:rPr>
        <w:t xml:space="preserve">. </w:t>
      </w:r>
    </w:p>
    <w:p w14:paraId="6D6A619B" w14:textId="77777777" w:rsidR="00F01385" w:rsidRPr="001D077D" w:rsidRDefault="00F01385" w:rsidP="00856DF7">
      <w:pPr>
        <w:jc w:val="both"/>
      </w:pPr>
    </w:p>
    <w:p w14:paraId="08625AE5" w14:textId="77777777" w:rsidR="00E80632" w:rsidRPr="00A0065F" w:rsidRDefault="00E80632" w:rsidP="00F377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65F">
        <w:rPr>
          <w:rFonts w:ascii="Times New Roman" w:hAnsi="Times New Roman"/>
          <w:b/>
          <w:sz w:val="28"/>
          <w:szCs w:val="28"/>
        </w:rPr>
        <w:t>Kryteria doboru tematów i podmiotów będących przedmiotem działań kontrolnych.</w:t>
      </w:r>
    </w:p>
    <w:p w14:paraId="4045C5BA" w14:textId="77777777" w:rsidR="00E80632" w:rsidRPr="00200CE0" w:rsidRDefault="00E80632" w:rsidP="00F377D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FBF55CC" w14:textId="77777777" w:rsidR="00E80632" w:rsidRPr="003510BE" w:rsidRDefault="00E80632" w:rsidP="00F377D9">
      <w:pPr>
        <w:jc w:val="both"/>
      </w:pPr>
      <w:r w:rsidRPr="003510BE">
        <w:t>Podstawowym narzędziem wykorzystywanym do doboru:</w:t>
      </w:r>
    </w:p>
    <w:p w14:paraId="7A4B5C28" w14:textId="77777777" w:rsidR="00E80632" w:rsidRPr="007F5635" w:rsidRDefault="00E80632" w:rsidP="00F377D9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5635">
        <w:rPr>
          <w:rFonts w:ascii="Times New Roman" w:hAnsi="Times New Roman"/>
          <w:sz w:val="24"/>
          <w:szCs w:val="24"/>
        </w:rPr>
        <w:t>podmiotów, w których przeprowadzano kontrole tematów zleconych przez Prezesa UOKiK (z wyłączeniem kontroli paliw, gdzie zlecenia zawierały również wskazanie konkretnych podmiotów),</w:t>
      </w:r>
    </w:p>
    <w:p w14:paraId="78D1F11E" w14:textId="77777777" w:rsidR="007F5635" w:rsidRDefault="00E80632" w:rsidP="007F563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10BE">
        <w:rPr>
          <w:rFonts w:ascii="Times New Roman" w:hAnsi="Times New Roman"/>
          <w:sz w:val="24"/>
          <w:szCs w:val="24"/>
        </w:rPr>
        <w:t>tematów i podmiotów w ramach kontroli własnych</w:t>
      </w:r>
      <w:r>
        <w:rPr>
          <w:rFonts w:ascii="Times New Roman" w:hAnsi="Times New Roman"/>
          <w:sz w:val="24"/>
          <w:szCs w:val="24"/>
        </w:rPr>
        <w:t>,</w:t>
      </w:r>
      <w:r w:rsidR="00121354">
        <w:rPr>
          <w:rFonts w:ascii="Times New Roman" w:hAnsi="Times New Roman"/>
          <w:sz w:val="24"/>
          <w:szCs w:val="24"/>
        </w:rPr>
        <w:t xml:space="preserve"> </w:t>
      </w:r>
    </w:p>
    <w:p w14:paraId="45704F83" w14:textId="77777777" w:rsidR="007F5635" w:rsidRDefault="007F5635" w:rsidP="007F5635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0CE6568D" w14:textId="2B13E91D" w:rsidR="00E80632" w:rsidRPr="007F5635" w:rsidRDefault="00E80632" w:rsidP="007F5635">
      <w:pPr>
        <w:jc w:val="both"/>
      </w:pPr>
      <w:r w:rsidRPr="007F5635">
        <w:t>była analiza ryzyka wystąpienia nieprawidłowości uwzględniająca problemy i zagrożenia identyfikowane w trakcie działalności w okresach wcześniejszych jak i w pracy bieżącej</w:t>
      </w:r>
      <w:r w:rsidR="000503D0">
        <w:t xml:space="preserve"> ( m in. informacje przekazywane przez konsumentów)</w:t>
      </w:r>
      <w:r w:rsidRPr="007F5635">
        <w:t>.</w:t>
      </w:r>
    </w:p>
    <w:p w14:paraId="2296A708" w14:textId="56DA60AD" w:rsidR="008A4BD3" w:rsidRPr="003510BE" w:rsidRDefault="008A4BD3" w:rsidP="00856DF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7B930D60" w14:textId="42947B38" w:rsidR="00E80632" w:rsidRPr="00A0065F" w:rsidRDefault="00E80632" w:rsidP="00FE2F70">
      <w:pPr>
        <w:pStyle w:val="Akapitzlist"/>
        <w:numPr>
          <w:ilvl w:val="0"/>
          <w:numId w:val="4"/>
        </w:numPr>
        <w:spacing w:after="24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A0065F">
        <w:rPr>
          <w:rFonts w:ascii="Times New Roman" w:hAnsi="Times New Roman"/>
          <w:b/>
          <w:bCs/>
          <w:sz w:val="28"/>
          <w:szCs w:val="28"/>
        </w:rPr>
        <w:t xml:space="preserve">Podstawowe dane statystyczne charakteryzujące działalność kontrolną Inspektoratu. </w:t>
      </w:r>
    </w:p>
    <w:p w14:paraId="4E220441" w14:textId="1628DB7D" w:rsidR="00E80632" w:rsidRPr="00911779" w:rsidRDefault="00E80632" w:rsidP="00F377D9">
      <w:pPr>
        <w:jc w:val="both"/>
      </w:pPr>
      <w:r w:rsidRPr="00911779">
        <w:t>W 202</w:t>
      </w:r>
      <w:r w:rsidR="000F2E05">
        <w:t>1</w:t>
      </w:r>
      <w:r w:rsidRPr="00911779">
        <w:t xml:space="preserve"> r.:</w:t>
      </w:r>
    </w:p>
    <w:p w14:paraId="0A0A1293" w14:textId="5577CBBD" w:rsidR="00E80632" w:rsidRPr="00734ED5" w:rsidRDefault="00E80632" w:rsidP="00F377D9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</w:pPr>
      <w:r w:rsidRPr="00734ED5">
        <w:rPr>
          <w:rFonts w:ascii="Times New Roman" w:hAnsi="Times New Roman"/>
          <w:sz w:val="24"/>
          <w:szCs w:val="24"/>
        </w:rPr>
        <w:t xml:space="preserve">przeprowadzono </w:t>
      </w:r>
      <w:r w:rsidRPr="00632949">
        <w:rPr>
          <w:rFonts w:ascii="Times New Roman" w:hAnsi="Times New Roman"/>
          <w:b/>
          <w:sz w:val="24"/>
          <w:szCs w:val="24"/>
        </w:rPr>
        <w:t>6</w:t>
      </w:r>
      <w:r w:rsidR="000F2E05" w:rsidRPr="00632949">
        <w:rPr>
          <w:rFonts w:ascii="Times New Roman" w:hAnsi="Times New Roman"/>
          <w:b/>
          <w:sz w:val="24"/>
          <w:szCs w:val="24"/>
        </w:rPr>
        <w:t>71</w:t>
      </w:r>
      <w:r w:rsidRPr="00632949">
        <w:rPr>
          <w:rFonts w:ascii="Times New Roman" w:hAnsi="Times New Roman"/>
          <w:b/>
          <w:sz w:val="24"/>
          <w:szCs w:val="24"/>
        </w:rPr>
        <w:t xml:space="preserve"> kontroli</w:t>
      </w:r>
      <w:r w:rsidR="00C60FEA" w:rsidRPr="00734ED5">
        <w:rPr>
          <w:rFonts w:ascii="Times New Roman" w:hAnsi="Times New Roman"/>
          <w:sz w:val="24"/>
          <w:szCs w:val="24"/>
        </w:rPr>
        <w:t>,</w:t>
      </w:r>
      <w:r w:rsidR="00E0118F">
        <w:rPr>
          <w:rFonts w:ascii="Times New Roman" w:hAnsi="Times New Roman"/>
          <w:sz w:val="24"/>
          <w:szCs w:val="24"/>
        </w:rPr>
        <w:t xml:space="preserve"> w trakcie </w:t>
      </w:r>
      <w:r w:rsidR="00E0118F" w:rsidRPr="00632949">
        <w:rPr>
          <w:rFonts w:ascii="Times New Roman" w:hAnsi="Times New Roman"/>
          <w:b/>
          <w:sz w:val="24"/>
          <w:szCs w:val="24"/>
        </w:rPr>
        <w:t>300</w:t>
      </w:r>
      <w:r w:rsidR="00E0118F">
        <w:rPr>
          <w:rFonts w:ascii="Times New Roman" w:hAnsi="Times New Roman"/>
          <w:sz w:val="24"/>
          <w:szCs w:val="24"/>
        </w:rPr>
        <w:t xml:space="preserve"> stwierdzono nieprawidłowości (45%),</w:t>
      </w:r>
    </w:p>
    <w:p w14:paraId="3F774687" w14:textId="6A4AA8DC" w:rsidR="00E80632" w:rsidRPr="00120370" w:rsidRDefault="00E80632" w:rsidP="00F377D9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</w:pPr>
      <w:r w:rsidRPr="00734ED5">
        <w:rPr>
          <w:rFonts w:ascii="Times New Roman" w:hAnsi="Times New Roman"/>
          <w:sz w:val="24"/>
          <w:szCs w:val="24"/>
        </w:rPr>
        <w:t xml:space="preserve">sprawdzeniem objęto </w:t>
      </w:r>
      <w:r w:rsidR="006145BB" w:rsidRPr="00632949">
        <w:rPr>
          <w:rFonts w:ascii="Times New Roman" w:hAnsi="Times New Roman"/>
          <w:b/>
          <w:sz w:val="24"/>
          <w:szCs w:val="24"/>
        </w:rPr>
        <w:t xml:space="preserve">26934 </w:t>
      </w:r>
      <w:r w:rsidRPr="00632949">
        <w:rPr>
          <w:rFonts w:ascii="Times New Roman" w:hAnsi="Times New Roman"/>
          <w:b/>
          <w:sz w:val="24"/>
          <w:szCs w:val="24"/>
        </w:rPr>
        <w:t>partii wyrobów</w:t>
      </w:r>
      <w:r w:rsidR="006145BB" w:rsidRPr="00734ED5">
        <w:rPr>
          <w:rFonts w:ascii="Times New Roman" w:hAnsi="Times New Roman"/>
          <w:sz w:val="24"/>
          <w:szCs w:val="24"/>
        </w:rPr>
        <w:t>,</w:t>
      </w:r>
      <w:r w:rsidRPr="00734ED5">
        <w:rPr>
          <w:rFonts w:ascii="Times New Roman" w:hAnsi="Times New Roman"/>
          <w:sz w:val="24"/>
          <w:szCs w:val="24"/>
        </w:rPr>
        <w:t xml:space="preserve"> </w:t>
      </w:r>
      <w:r w:rsidR="006145BB" w:rsidRPr="00734ED5">
        <w:rPr>
          <w:rFonts w:ascii="Times New Roman" w:hAnsi="Times New Roman"/>
          <w:sz w:val="24"/>
          <w:szCs w:val="24"/>
        </w:rPr>
        <w:t xml:space="preserve">zakwestionowano </w:t>
      </w:r>
      <w:r w:rsidR="006145BB" w:rsidRPr="00632949">
        <w:rPr>
          <w:rFonts w:ascii="Times New Roman" w:hAnsi="Times New Roman"/>
          <w:b/>
          <w:sz w:val="24"/>
          <w:szCs w:val="24"/>
        </w:rPr>
        <w:t>3709 partii</w:t>
      </w:r>
      <w:r w:rsidR="006145BB" w:rsidRPr="00734ED5">
        <w:rPr>
          <w:rFonts w:ascii="Times New Roman" w:hAnsi="Times New Roman"/>
          <w:sz w:val="24"/>
          <w:szCs w:val="24"/>
        </w:rPr>
        <w:t>, tj. 14</w:t>
      </w:r>
      <w:r w:rsidRPr="00734ED5">
        <w:rPr>
          <w:rFonts w:ascii="Times New Roman" w:hAnsi="Times New Roman"/>
          <w:sz w:val="24"/>
          <w:szCs w:val="24"/>
        </w:rPr>
        <w:t>%</w:t>
      </w:r>
      <w:r w:rsidR="00734ED5" w:rsidRPr="00734ED5">
        <w:rPr>
          <w:rFonts w:ascii="Times New Roman" w:hAnsi="Times New Roman"/>
          <w:sz w:val="24"/>
          <w:szCs w:val="24"/>
        </w:rPr>
        <w:t xml:space="preserve">; </w:t>
      </w:r>
      <w:r w:rsidR="006145BB" w:rsidRPr="00734ED5">
        <w:rPr>
          <w:rFonts w:ascii="Times New Roman" w:hAnsi="Times New Roman"/>
          <w:sz w:val="24"/>
          <w:szCs w:val="24"/>
        </w:rPr>
        <w:t xml:space="preserve"> </w:t>
      </w:r>
      <w:r w:rsidR="00734ED5" w:rsidRPr="00734ED5">
        <w:rPr>
          <w:rFonts w:ascii="Times New Roman" w:hAnsi="Times New Roman"/>
          <w:sz w:val="24"/>
          <w:szCs w:val="24"/>
        </w:rPr>
        <w:t>p</w:t>
      </w:r>
      <w:r w:rsidRPr="00734ED5">
        <w:rPr>
          <w:rFonts w:ascii="Times New Roman" w:hAnsi="Times New Roman"/>
          <w:sz w:val="24"/>
          <w:szCs w:val="24"/>
        </w:rPr>
        <w:t xml:space="preserve">onadto </w:t>
      </w:r>
      <w:r w:rsidR="00C60FEA" w:rsidRPr="00632949">
        <w:rPr>
          <w:rFonts w:ascii="Times New Roman" w:hAnsi="Times New Roman"/>
          <w:b/>
          <w:sz w:val="24"/>
          <w:szCs w:val="24"/>
        </w:rPr>
        <w:t xml:space="preserve">21165 </w:t>
      </w:r>
      <w:r w:rsidRPr="00632949">
        <w:rPr>
          <w:rFonts w:ascii="Times New Roman" w:hAnsi="Times New Roman"/>
          <w:b/>
          <w:sz w:val="24"/>
          <w:szCs w:val="24"/>
        </w:rPr>
        <w:t>produktów</w:t>
      </w:r>
      <w:r w:rsidRPr="00734ED5">
        <w:rPr>
          <w:rFonts w:ascii="Times New Roman" w:hAnsi="Times New Roman"/>
          <w:sz w:val="24"/>
          <w:szCs w:val="24"/>
        </w:rPr>
        <w:t xml:space="preserve"> oceniono w zakresie uwidaczniania cen ich sprzedaży, </w:t>
      </w:r>
      <w:r w:rsidR="00C60FEA" w:rsidRPr="00120370">
        <w:rPr>
          <w:rFonts w:ascii="Times New Roman" w:hAnsi="Times New Roman"/>
          <w:sz w:val="24"/>
          <w:szCs w:val="24"/>
        </w:rPr>
        <w:t xml:space="preserve">stwierdzając nieprawidłowości w odniesieniu do </w:t>
      </w:r>
      <w:r w:rsidR="00C60FEA" w:rsidRPr="00632949">
        <w:rPr>
          <w:rFonts w:ascii="Times New Roman" w:hAnsi="Times New Roman"/>
          <w:b/>
          <w:sz w:val="24"/>
          <w:szCs w:val="24"/>
        </w:rPr>
        <w:t>3039</w:t>
      </w:r>
      <w:r w:rsidR="0010341C">
        <w:rPr>
          <w:rFonts w:ascii="Times New Roman" w:hAnsi="Times New Roman"/>
          <w:b/>
          <w:sz w:val="24"/>
          <w:szCs w:val="24"/>
        </w:rPr>
        <w:t xml:space="preserve"> </w:t>
      </w:r>
      <w:r w:rsidR="0010341C" w:rsidRPr="0010341C">
        <w:rPr>
          <w:rFonts w:ascii="Times New Roman" w:hAnsi="Times New Roman"/>
          <w:sz w:val="24"/>
          <w:szCs w:val="24"/>
        </w:rPr>
        <w:t>(14%)</w:t>
      </w:r>
      <w:r w:rsidR="00734ED5" w:rsidRPr="0010341C">
        <w:rPr>
          <w:rFonts w:ascii="Times New Roman" w:hAnsi="Times New Roman"/>
          <w:sz w:val="24"/>
          <w:szCs w:val="24"/>
        </w:rPr>
        <w:t>,</w:t>
      </w:r>
    </w:p>
    <w:p w14:paraId="5E32D9D9" w14:textId="172377A3" w:rsidR="008A4BD3" w:rsidRPr="00856DF7" w:rsidRDefault="004E0C43" w:rsidP="00F377D9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74DA0559" wp14:editId="07A766DD">
            <wp:simplePos x="0" y="0"/>
            <wp:positionH relativeFrom="margin">
              <wp:posOffset>99695</wp:posOffset>
            </wp:positionH>
            <wp:positionV relativeFrom="paragraph">
              <wp:posOffset>511810</wp:posOffset>
            </wp:positionV>
            <wp:extent cx="5848350" cy="2228850"/>
            <wp:effectExtent l="0" t="0" r="0" b="0"/>
            <wp:wrapTopAndBottom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32" w:rsidRPr="00120370">
        <w:rPr>
          <w:rFonts w:ascii="Times New Roman" w:hAnsi="Times New Roman"/>
          <w:sz w:val="24"/>
          <w:szCs w:val="24"/>
        </w:rPr>
        <w:t xml:space="preserve">sporządzono na wniosek organów celno-skarbowych </w:t>
      </w:r>
      <w:r w:rsidR="00E80632" w:rsidRPr="00632949">
        <w:rPr>
          <w:rFonts w:ascii="Times New Roman" w:hAnsi="Times New Roman"/>
          <w:b/>
          <w:sz w:val="24"/>
          <w:szCs w:val="24"/>
        </w:rPr>
        <w:t>3</w:t>
      </w:r>
      <w:r w:rsidR="00120370" w:rsidRPr="00632949">
        <w:rPr>
          <w:rFonts w:ascii="Times New Roman" w:hAnsi="Times New Roman"/>
          <w:b/>
          <w:sz w:val="24"/>
          <w:szCs w:val="24"/>
        </w:rPr>
        <w:t>2</w:t>
      </w:r>
      <w:r w:rsidR="00E80632" w:rsidRPr="00632949">
        <w:rPr>
          <w:rFonts w:ascii="Times New Roman" w:hAnsi="Times New Roman"/>
          <w:b/>
          <w:sz w:val="24"/>
          <w:szCs w:val="24"/>
        </w:rPr>
        <w:t xml:space="preserve"> opini</w:t>
      </w:r>
      <w:r w:rsidR="00120370" w:rsidRPr="00632949">
        <w:rPr>
          <w:rFonts w:ascii="Times New Roman" w:hAnsi="Times New Roman"/>
          <w:b/>
          <w:sz w:val="24"/>
          <w:szCs w:val="24"/>
        </w:rPr>
        <w:t>e</w:t>
      </w:r>
      <w:r w:rsidR="00E80632" w:rsidRPr="00120370">
        <w:rPr>
          <w:rFonts w:ascii="Times New Roman" w:hAnsi="Times New Roman"/>
          <w:sz w:val="24"/>
          <w:szCs w:val="24"/>
        </w:rPr>
        <w:t xml:space="preserve"> dotycząc</w:t>
      </w:r>
      <w:r w:rsidR="0051208F">
        <w:rPr>
          <w:rFonts w:ascii="Times New Roman" w:hAnsi="Times New Roman"/>
          <w:sz w:val="24"/>
          <w:szCs w:val="24"/>
        </w:rPr>
        <w:t xml:space="preserve">e </w:t>
      </w:r>
      <w:r w:rsidR="00E80632" w:rsidRPr="00120370">
        <w:rPr>
          <w:rFonts w:ascii="Times New Roman" w:hAnsi="Times New Roman"/>
          <w:sz w:val="24"/>
          <w:szCs w:val="24"/>
        </w:rPr>
        <w:t>zgodności produktów importowanych na obszar UE z obowiązującymi przepisami</w:t>
      </w:r>
      <w:r w:rsidR="00120370" w:rsidRPr="00120370">
        <w:rPr>
          <w:rFonts w:ascii="Times New Roman" w:hAnsi="Times New Roman"/>
          <w:sz w:val="24"/>
          <w:szCs w:val="24"/>
        </w:rPr>
        <w:t>.</w:t>
      </w:r>
    </w:p>
    <w:p w14:paraId="23DC93A9" w14:textId="4D33ED5B" w:rsidR="00E80632" w:rsidRDefault="00E80632" w:rsidP="00856DF7">
      <w:pPr>
        <w:jc w:val="both"/>
      </w:pPr>
      <w:r w:rsidRPr="00911779">
        <w:lastRenderedPageBreak/>
        <w:t>W następstwie stwierdzonych nieprawidłowości podjęto przewidziane prawem działania, tj.:</w:t>
      </w:r>
    </w:p>
    <w:p w14:paraId="628792F6" w14:textId="77777777" w:rsidR="0010341C" w:rsidRDefault="0010341C" w:rsidP="00856DF7">
      <w:pPr>
        <w:jc w:val="both"/>
      </w:pPr>
    </w:p>
    <w:p w14:paraId="7F4DB0E1" w14:textId="14CDE438" w:rsidR="0010341C" w:rsidRPr="00632949" w:rsidRDefault="0010341C" w:rsidP="0010341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32949">
        <w:rPr>
          <w:rFonts w:ascii="Times New Roman" w:hAnsi="Times New Roman"/>
          <w:sz w:val="24"/>
          <w:szCs w:val="24"/>
        </w:rPr>
        <w:t xml:space="preserve">wydano w sumie </w:t>
      </w:r>
      <w:r w:rsidRPr="00632949">
        <w:rPr>
          <w:rFonts w:ascii="Times New Roman" w:hAnsi="Times New Roman"/>
          <w:b/>
          <w:sz w:val="24"/>
          <w:szCs w:val="24"/>
        </w:rPr>
        <w:t>119 decyzji</w:t>
      </w:r>
      <w:r w:rsidRPr="00632949">
        <w:rPr>
          <w:rFonts w:ascii="Times New Roman" w:hAnsi="Times New Roman"/>
          <w:sz w:val="24"/>
          <w:szCs w:val="24"/>
        </w:rPr>
        <w:t xml:space="preserve"> administracyjnych, z czego </w:t>
      </w:r>
      <w:r w:rsidRPr="00632949">
        <w:rPr>
          <w:rFonts w:ascii="Times New Roman" w:hAnsi="Times New Roman"/>
          <w:b/>
          <w:sz w:val="24"/>
          <w:szCs w:val="24"/>
        </w:rPr>
        <w:t>95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632949">
        <w:rPr>
          <w:rFonts w:ascii="Times New Roman" w:hAnsi="Times New Roman"/>
          <w:sz w:val="24"/>
          <w:szCs w:val="24"/>
        </w:rPr>
        <w:t xml:space="preserve"> dotyczyło nałożenia kar</w:t>
      </w:r>
      <w:r>
        <w:rPr>
          <w:rFonts w:ascii="Times New Roman" w:hAnsi="Times New Roman"/>
          <w:sz w:val="24"/>
          <w:szCs w:val="24"/>
        </w:rPr>
        <w:t xml:space="preserve"> administracyjnych;</w:t>
      </w:r>
      <w:r w:rsidRPr="00632949">
        <w:rPr>
          <w:rFonts w:ascii="Times New Roman" w:hAnsi="Times New Roman"/>
          <w:sz w:val="24"/>
          <w:szCs w:val="24"/>
        </w:rPr>
        <w:t xml:space="preserve"> suma nałożonych kar wyniosła </w:t>
      </w:r>
      <w:r w:rsidRPr="0010341C">
        <w:rPr>
          <w:rFonts w:ascii="Times New Roman" w:hAnsi="Times New Roman"/>
          <w:b/>
          <w:sz w:val="24"/>
          <w:szCs w:val="24"/>
        </w:rPr>
        <w:t>288.300 zł</w:t>
      </w:r>
      <w:r w:rsidRPr="00632949">
        <w:rPr>
          <w:rFonts w:ascii="Times New Roman" w:hAnsi="Times New Roman"/>
          <w:sz w:val="24"/>
          <w:szCs w:val="24"/>
        </w:rPr>
        <w:t xml:space="preserve"> (w roku poprzednim wydano w tym samym zakresie 102 decyzje nakładające kary na łączną kwotę 177654</w:t>
      </w:r>
      <w:r>
        <w:rPr>
          <w:rFonts w:ascii="Times New Roman" w:hAnsi="Times New Roman"/>
          <w:sz w:val="24"/>
          <w:szCs w:val="24"/>
        </w:rPr>
        <w:t xml:space="preserve"> zł; należy zatem odnotować wzrost wartości nałożonych kar o 62 %, przy niespełna 6% zmniejszeniu liczby decyzji</w:t>
      </w:r>
    </w:p>
    <w:p w14:paraId="601974FD" w14:textId="3048EB25" w:rsidR="00E80632" w:rsidRPr="00632949" w:rsidRDefault="00E80632" w:rsidP="00856DF7">
      <w:pPr>
        <w:pStyle w:val="Akapitzlist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hAnsi="Times New Roman"/>
          <w:b/>
          <w:sz w:val="24"/>
          <w:szCs w:val="24"/>
        </w:rPr>
      </w:pPr>
      <w:r w:rsidRPr="00734ED5">
        <w:rPr>
          <w:rFonts w:ascii="Times New Roman" w:hAnsi="Times New Roman"/>
          <w:sz w:val="24"/>
          <w:szCs w:val="24"/>
        </w:rPr>
        <w:t xml:space="preserve">nałożono </w:t>
      </w:r>
      <w:r w:rsidR="006145BB" w:rsidRPr="00632949">
        <w:rPr>
          <w:rFonts w:ascii="Times New Roman" w:hAnsi="Times New Roman"/>
          <w:b/>
          <w:sz w:val="24"/>
          <w:szCs w:val="24"/>
        </w:rPr>
        <w:t>6</w:t>
      </w:r>
      <w:r w:rsidRPr="00632949">
        <w:rPr>
          <w:rFonts w:ascii="Times New Roman" w:hAnsi="Times New Roman"/>
          <w:b/>
          <w:sz w:val="24"/>
          <w:szCs w:val="24"/>
        </w:rPr>
        <w:t>3 mandaty karne</w:t>
      </w:r>
      <w:r w:rsidRPr="00734ED5">
        <w:rPr>
          <w:rFonts w:ascii="Times New Roman" w:hAnsi="Times New Roman"/>
          <w:sz w:val="24"/>
          <w:szCs w:val="24"/>
        </w:rPr>
        <w:t xml:space="preserve"> w łącznej kwocie </w:t>
      </w:r>
      <w:r w:rsidR="006145BB" w:rsidRPr="00632949">
        <w:rPr>
          <w:rFonts w:ascii="Times New Roman" w:hAnsi="Times New Roman"/>
          <w:b/>
          <w:sz w:val="24"/>
          <w:szCs w:val="24"/>
        </w:rPr>
        <w:t>9570</w:t>
      </w:r>
      <w:r w:rsidRPr="00632949">
        <w:rPr>
          <w:rFonts w:ascii="Times New Roman" w:hAnsi="Times New Roman"/>
          <w:b/>
          <w:sz w:val="24"/>
          <w:szCs w:val="24"/>
        </w:rPr>
        <w:t xml:space="preserve"> zł,</w:t>
      </w:r>
    </w:p>
    <w:p w14:paraId="4BA9E966" w14:textId="7B5A81BC" w:rsidR="00E80632" w:rsidRPr="00734ED5" w:rsidRDefault="00E80632" w:rsidP="00856DF7">
      <w:pPr>
        <w:pStyle w:val="Akapitzlist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734ED5">
        <w:rPr>
          <w:rFonts w:ascii="Times New Roman" w:hAnsi="Times New Roman"/>
          <w:sz w:val="24"/>
          <w:szCs w:val="24"/>
        </w:rPr>
        <w:t xml:space="preserve">do </w:t>
      </w:r>
      <w:r w:rsidR="00C60FEA" w:rsidRPr="00734ED5">
        <w:rPr>
          <w:rFonts w:ascii="Times New Roman" w:hAnsi="Times New Roman"/>
          <w:sz w:val="24"/>
          <w:szCs w:val="24"/>
        </w:rPr>
        <w:t xml:space="preserve">właściwych miejscowo </w:t>
      </w:r>
      <w:r w:rsidR="00321E9D" w:rsidRPr="00734ED5">
        <w:rPr>
          <w:rFonts w:ascii="Times New Roman" w:hAnsi="Times New Roman"/>
          <w:sz w:val="24"/>
          <w:szCs w:val="24"/>
        </w:rPr>
        <w:t>prokuratur</w:t>
      </w:r>
      <w:r w:rsidRPr="00734ED5">
        <w:rPr>
          <w:rFonts w:ascii="Times New Roman" w:hAnsi="Times New Roman"/>
          <w:sz w:val="24"/>
          <w:szCs w:val="24"/>
        </w:rPr>
        <w:t xml:space="preserve"> skierowano </w:t>
      </w:r>
      <w:r w:rsidR="00645BFC" w:rsidRPr="0010341C">
        <w:rPr>
          <w:rFonts w:ascii="Times New Roman" w:hAnsi="Times New Roman"/>
          <w:b/>
          <w:sz w:val="24"/>
          <w:szCs w:val="24"/>
        </w:rPr>
        <w:t>20 zawiadomień</w:t>
      </w:r>
      <w:r w:rsidR="00645BFC" w:rsidRPr="00734ED5">
        <w:rPr>
          <w:rFonts w:ascii="Times New Roman" w:hAnsi="Times New Roman"/>
          <w:sz w:val="24"/>
          <w:szCs w:val="24"/>
        </w:rPr>
        <w:t xml:space="preserve"> o uzasadnionym podejrzeniu popełnienia przestępstwa,</w:t>
      </w:r>
      <w:r w:rsidRPr="00734ED5">
        <w:rPr>
          <w:rFonts w:ascii="Times New Roman" w:hAnsi="Times New Roman"/>
          <w:sz w:val="24"/>
          <w:szCs w:val="24"/>
        </w:rPr>
        <w:t xml:space="preserve"> </w:t>
      </w:r>
    </w:p>
    <w:p w14:paraId="1621BB5C" w14:textId="5494B1BF" w:rsidR="00645BFC" w:rsidRPr="00734ED5" w:rsidRDefault="00645BFC" w:rsidP="00856DF7">
      <w:pPr>
        <w:pStyle w:val="Akapitzlist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734ED5">
        <w:rPr>
          <w:rFonts w:ascii="Times New Roman" w:hAnsi="Times New Roman"/>
          <w:sz w:val="24"/>
          <w:szCs w:val="24"/>
        </w:rPr>
        <w:t xml:space="preserve">wydano </w:t>
      </w:r>
      <w:r w:rsidRPr="0010341C">
        <w:rPr>
          <w:rFonts w:ascii="Times New Roman" w:hAnsi="Times New Roman"/>
          <w:b/>
          <w:sz w:val="24"/>
          <w:szCs w:val="24"/>
        </w:rPr>
        <w:t>100 żąda</w:t>
      </w:r>
      <w:r w:rsidR="008A4BD3" w:rsidRPr="0010341C">
        <w:rPr>
          <w:rFonts w:ascii="Times New Roman" w:hAnsi="Times New Roman"/>
          <w:b/>
          <w:sz w:val="24"/>
          <w:szCs w:val="24"/>
        </w:rPr>
        <w:t>ń</w:t>
      </w:r>
      <w:r w:rsidRPr="00734ED5">
        <w:rPr>
          <w:rFonts w:ascii="Times New Roman" w:hAnsi="Times New Roman"/>
          <w:sz w:val="24"/>
          <w:szCs w:val="24"/>
        </w:rPr>
        <w:t xml:space="preserve"> usunięcia nieprawidłowości,</w:t>
      </w:r>
    </w:p>
    <w:p w14:paraId="707181F6" w14:textId="6181DFE8" w:rsidR="00C60FEA" w:rsidRPr="00734ED5" w:rsidRDefault="00C60FEA" w:rsidP="00856DF7">
      <w:pPr>
        <w:pStyle w:val="Akapitzlist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734ED5">
        <w:rPr>
          <w:rFonts w:ascii="Times New Roman" w:hAnsi="Times New Roman"/>
          <w:sz w:val="24"/>
          <w:szCs w:val="24"/>
        </w:rPr>
        <w:t xml:space="preserve">w 2 sprawach zastosowano pouczenia na zasadzie art. 41 </w:t>
      </w:r>
      <w:proofErr w:type="spellStart"/>
      <w:r w:rsidRPr="00734ED5">
        <w:rPr>
          <w:rFonts w:ascii="Times New Roman" w:hAnsi="Times New Roman"/>
          <w:sz w:val="24"/>
          <w:szCs w:val="24"/>
        </w:rPr>
        <w:t>Kw</w:t>
      </w:r>
      <w:proofErr w:type="spellEnd"/>
      <w:r w:rsidRPr="00734ED5">
        <w:rPr>
          <w:rFonts w:ascii="Times New Roman" w:hAnsi="Times New Roman"/>
          <w:sz w:val="24"/>
          <w:szCs w:val="24"/>
        </w:rPr>
        <w:t>,</w:t>
      </w:r>
    </w:p>
    <w:p w14:paraId="754C9CAC" w14:textId="77777777" w:rsidR="00856DF7" w:rsidRPr="00734ED5" w:rsidRDefault="00856DF7" w:rsidP="00856DF7">
      <w:pPr>
        <w:pStyle w:val="Akapitzlist"/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14:paraId="78D33548" w14:textId="29DD3FC1" w:rsidR="0051208F" w:rsidRDefault="004E0C43" w:rsidP="00446E6B">
      <w:pPr>
        <w:ind w:left="284"/>
        <w:jc w:val="both"/>
      </w:pPr>
      <w:r>
        <w:rPr>
          <w:noProof/>
        </w:rPr>
        <w:drawing>
          <wp:inline distT="0" distB="0" distL="0" distR="0" wp14:anchorId="09B61601" wp14:editId="1C8A283C">
            <wp:extent cx="2828925" cy="253365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22D26">
        <w:rPr>
          <w:noProof/>
        </w:rPr>
        <w:drawing>
          <wp:inline distT="0" distB="0" distL="0" distR="0" wp14:anchorId="359338D9" wp14:editId="7B3634D9">
            <wp:extent cx="2819400" cy="253365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E38D9B" w14:textId="0D5C3AED" w:rsidR="009A758E" w:rsidRDefault="009A758E" w:rsidP="00446E6B">
      <w:pPr>
        <w:ind w:left="284"/>
        <w:jc w:val="both"/>
      </w:pPr>
    </w:p>
    <w:p w14:paraId="264D50B2" w14:textId="77777777" w:rsidR="00856DF7" w:rsidRPr="003510BE" w:rsidRDefault="00856DF7" w:rsidP="00446E6B">
      <w:pPr>
        <w:ind w:left="284"/>
        <w:jc w:val="both"/>
      </w:pPr>
    </w:p>
    <w:p w14:paraId="595BA6CF" w14:textId="77777777" w:rsidR="00E80632" w:rsidRPr="00A0065F" w:rsidRDefault="00E80632" w:rsidP="00E80632">
      <w:pPr>
        <w:pStyle w:val="Akapitzlist"/>
        <w:widowControl w:val="0"/>
        <w:numPr>
          <w:ilvl w:val="0"/>
          <w:numId w:val="4"/>
        </w:numPr>
        <w:tabs>
          <w:tab w:val="left" w:pos="1980"/>
        </w:tabs>
        <w:autoSpaceDE w:val="0"/>
        <w:jc w:val="both"/>
        <w:rPr>
          <w:rFonts w:eastAsia="Times New Roman"/>
          <w:b/>
          <w:sz w:val="28"/>
          <w:szCs w:val="28"/>
        </w:rPr>
      </w:pPr>
      <w:r w:rsidRPr="00A0065F">
        <w:rPr>
          <w:rFonts w:ascii="Times New Roman" w:hAnsi="Times New Roman"/>
          <w:b/>
          <w:sz w:val="28"/>
          <w:szCs w:val="28"/>
        </w:rPr>
        <w:t>Efektywność działania Inspektoratu w podstawowych obszarach działania.</w:t>
      </w:r>
    </w:p>
    <w:p w14:paraId="163F2D66" w14:textId="3436907F" w:rsidR="00E80632" w:rsidRDefault="00A0065F" w:rsidP="004E0C43">
      <w:pPr>
        <w:widowControl w:val="0"/>
        <w:tabs>
          <w:tab w:val="left" w:pos="1980"/>
        </w:tabs>
        <w:autoSpaceDE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1). </w:t>
      </w:r>
      <w:r w:rsidR="00E80632" w:rsidRPr="00726D0C">
        <w:rPr>
          <w:rFonts w:eastAsia="Times New Roman"/>
          <w:b/>
        </w:rPr>
        <w:t>Jakość paliw ciekłych i stałych</w:t>
      </w:r>
    </w:p>
    <w:p w14:paraId="35FDFE55" w14:textId="77777777" w:rsidR="001E2135" w:rsidRPr="004E0C43" w:rsidRDefault="001E2135" w:rsidP="004E0C43">
      <w:pPr>
        <w:widowControl w:val="0"/>
        <w:tabs>
          <w:tab w:val="left" w:pos="1980"/>
        </w:tabs>
        <w:autoSpaceDE w:val="0"/>
        <w:jc w:val="both"/>
        <w:rPr>
          <w:rFonts w:eastAsia="Times New Roman"/>
          <w:b/>
        </w:rPr>
      </w:pPr>
    </w:p>
    <w:p w14:paraId="5EF9F080" w14:textId="5C9C3618" w:rsidR="007D76BB" w:rsidRPr="007D76BB" w:rsidRDefault="00EF0D90" w:rsidP="00F377D9">
      <w:pPr>
        <w:widowControl w:val="0"/>
        <w:suppressAutoHyphens/>
        <w:jc w:val="both"/>
        <w:rPr>
          <w:rFonts w:eastAsia="HG Mincho Light J"/>
          <w:color w:val="000000" w:themeColor="text1"/>
        </w:rPr>
      </w:pPr>
      <w:r w:rsidRPr="00FF4479">
        <w:rPr>
          <w:rFonts w:eastAsia="HG Mincho Light J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93AB727" wp14:editId="6DF93FB1">
            <wp:simplePos x="0" y="0"/>
            <wp:positionH relativeFrom="column">
              <wp:posOffset>3976370</wp:posOffset>
            </wp:positionH>
            <wp:positionV relativeFrom="paragraph">
              <wp:posOffset>169545</wp:posOffset>
            </wp:positionV>
            <wp:extent cx="22669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18" y="21461"/>
                <wp:lineTo x="21418" y="0"/>
                <wp:lineTo x="0" y="0"/>
              </wp:wrapPolygon>
            </wp:wrapTight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6BB" w:rsidRPr="007D76BB">
        <w:rPr>
          <w:rFonts w:eastAsia="HG Mincho Light J"/>
          <w:color w:val="000000" w:themeColor="text1"/>
        </w:rPr>
        <w:t xml:space="preserve">W 2021 r. przeprowadzono </w:t>
      </w:r>
      <w:r w:rsidR="007D76BB" w:rsidRPr="001E2135">
        <w:rPr>
          <w:rFonts w:eastAsia="HG Mincho Light J"/>
          <w:b/>
          <w:color w:val="000000" w:themeColor="text1"/>
        </w:rPr>
        <w:t>81 kontroli paliw</w:t>
      </w:r>
      <w:r w:rsidR="007D76BB" w:rsidRPr="007D76BB">
        <w:rPr>
          <w:rFonts w:eastAsia="HG Mincho Light J"/>
          <w:color w:val="000000" w:themeColor="text1"/>
        </w:rPr>
        <w:t xml:space="preserve"> (60 </w:t>
      </w:r>
      <w:r w:rsidR="007D76BB">
        <w:rPr>
          <w:rFonts w:eastAsia="HG Mincho Light J"/>
          <w:color w:val="000000" w:themeColor="text1"/>
        </w:rPr>
        <w:t xml:space="preserve">kontroli </w:t>
      </w:r>
      <w:r w:rsidR="007D76BB" w:rsidRPr="007D76BB">
        <w:rPr>
          <w:rFonts w:eastAsia="HG Mincho Light J"/>
          <w:color w:val="000000" w:themeColor="text1"/>
        </w:rPr>
        <w:t>paliw ciekłych oraz 21</w:t>
      </w:r>
      <w:r w:rsidR="007D76BB">
        <w:rPr>
          <w:rFonts w:eastAsia="HG Mincho Light J"/>
          <w:color w:val="000000" w:themeColor="text1"/>
        </w:rPr>
        <w:t xml:space="preserve"> kontroli</w:t>
      </w:r>
      <w:r w:rsidR="007D76BB" w:rsidRPr="007D76BB">
        <w:rPr>
          <w:rFonts w:eastAsia="HG Mincho Light J"/>
          <w:color w:val="000000" w:themeColor="text1"/>
        </w:rPr>
        <w:t xml:space="preserve"> </w:t>
      </w:r>
      <w:r w:rsidR="007D76BB">
        <w:rPr>
          <w:rFonts w:eastAsia="HG Mincho Light J"/>
          <w:color w:val="000000" w:themeColor="text1"/>
        </w:rPr>
        <w:t xml:space="preserve">paliw </w:t>
      </w:r>
      <w:r w:rsidR="007D76BB" w:rsidRPr="007D76BB">
        <w:rPr>
          <w:rFonts w:eastAsia="HG Mincho Light J"/>
          <w:color w:val="000000" w:themeColor="text1"/>
        </w:rPr>
        <w:t xml:space="preserve">stałych), w następstwie których zakwestionowano jakość 6 partii paliwa stałego z uwagi na parametry zadeklarowane w przekazanym wraz próbką do badań świadectwie jakości, które były niezgodne ze stanem faktycznym. </w:t>
      </w:r>
    </w:p>
    <w:p w14:paraId="358C4D52" w14:textId="5A0DC06F" w:rsidR="007D76BB" w:rsidRPr="007D76BB" w:rsidRDefault="007D76BB" w:rsidP="00F377D9">
      <w:pPr>
        <w:widowControl w:val="0"/>
        <w:suppressAutoHyphens/>
        <w:jc w:val="both"/>
        <w:rPr>
          <w:rFonts w:eastAsia="HG Mincho Light J"/>
          <w:color w:val="FF0000"/>
        </w:rPr>
      </w:pPr>
    </w:p>
    <w:p w14:paraId="627F0F10" w14:textId="0DE29810" w:rsidR="007D76BB" w:rsidRPr="00856DF7" w:rsidRDefault="007D76BB" w:rsidP="00F377D9">
      <w:pPr>
        <w:widowControl w:val="0"/>
        <w:suppressAutoHyphens/>
        <w:jc w:val="both"/>
        <w:rPr>
          <w:rFonts w:eastAsia="HG Mincho Light J"/>
          <w:i/>
          <w:iCs/>
          <w:color w:val="000000" w:themeColor="text1"/>
        </w:rPr>
      </w:pPr>
      <w:r w:rsidRPr="00856DF7">
        <w:rPr>
          <w:rFonts w:eastAsia="HG Mincho Light J"/>
          <w:i/>
          <w:iCs/>
          <w:color w:val="000000" w:themeColor="text1"/>
          <w:u w:val="single"/>
        </w:rPr>
        <w:t>Przykład</w:t>
      </w:r>
      <w:r w:rsidR="00A00031" w:rsidRPr="00856DF7">
        <w:rPr>
          <w:rFonts w:eastAsia="HG Mincho Light J"/>
          <w:i/>
          <w:iCs/>
          <w:color w:val="000000" w:themeColor="text1"/>
          <w:u w:val="single"/>
        </w:rPr>
        <w:t>y</w:t>
      </w:r>
      <w:r w:rsidRPr="00856DF7">
        <w:rPr>
          <w:rFonts w:eastAsia="HG Mincho Light J"/>
          <w:i/>
          <w:iCs/>
          <w:color w:val="000000" w:themeColor="text1"/>
          <w:u w:val="single"/>
        </w:rPr>
        <w:t>:</w:t>
      </w:r>
    </w:p>
    <w:p w14:paraId="3F71D592" w14:textId="72B7D029" w:rsidR="007D76BB" w:rsidRPr="00856DF7" w:rsidRDefault="007D76BB" w:rsidP="00F377D9">
      <w:pPr>
        <w:jc w:val="both"/>
        <w:rPr>
          <w:rFonts w:eastAsiaTheme="minorHAnsi"/>
          <w:i/>
          <w:iCs/>
          <w:lang w:eastAsia="en-US"/>
        </w:rPr>
      </w:pPr>
      <w:r w:rsidRPr="00856DF7">
        <w:rPr>
          <w:i/>
          <w:iCs/>
          <w:lang w:eastAsia="ar-SA"/>
        </w:rPr>
        <w:t xml:space="preserve">W trakcie </w:t>
      </w:r>
      <w:r w:rsidRPr="001E2135">
        <w:rPr>
          <w:i/>
          <w:iCs/>
          <w:lang w:eastAsia="ar-SA"/>
        </w:rPr>
        <w:t>19 kontroli</w:t>
      </w:r>
      <w:r w:rsidRPr="00856DF7">
        <w:rPr>
          <w:i/>
          <w:iCs/>
          <w:lang w:eastAsia="ar-SA"/>
        </w:rPr>
        <w:t xml:space="preserve"> przekazano do laboratorium wraz z próbkami paliwa stałego kopię świadectwa jakości paliwa stałego pobranego do badań w celu sprawdzenia wartości parametrów na zgodność ze stanem faktycznym. Badania laboratoryjne w</w:t>
      </w:r>
      <w:r w:rsidR="00A00031" w:rsidRPr="00856DF7">
        <w:rPr>
          <w:i/>
          <w:iCs/>
          <w:lang w:eastAsia="ar-SA"/>
        </w:rPr>
        <w:t>y</w:t>
      </w:r>
      <w:r w:rsidRPr="00856DF7">
        <w:rPr>
          <w:i/>
          <w:iCs/>
          <w:lang w:eastAsia="ar-SA"/>
        </w:rPr>
        <w:t xml:space="preserve">kazały, iż w </w:t>
      </w:r>
      <w:r w:rsidRPr="001E2135">
        <w:rPr>
          <w:i/>
          <w:iCs/>
          <w:lang w:eastAsia="ar-SA"/>
        </w:rPr>
        <w:t>6</w:t>
      </w:r>
      <w:r w:rsidRPr="001E2135">
        <w:rPr>
          <w:i/>
          <w:iCs/>
          <w:color w:val="FF0000"/>
          <w:lang w:eastAsia="ar-SA"/>
        </w:rPr>
        <w:t xml:space="preserve"> </w:t>
      </w:r>
      <w:r w:rsidRPr="001E2135">
        <w:rPr>
          <w:i/>
          <w:iCs/>
          <w:lang w:eastAsia="ar-SA"/>
        </w:rPr>
        <w:t>przypadkach</w:t>
      </w:r>
      <w:r w:rsidRPr="00856DF7">
        <w:rPr>
          <w:i/>
          <w:iCs/>
          <w:lang w:eastAsia="ar-SA"/>
        </w:rPr>
        <w:t xml:space="preserve"> parametry zadeklarowane w świadectwie jakości przez przedsiębiorców były niezgodne ze stanem faktycznym</w:t>
      </w:r>
      <w:r w:rsidRPr="00856DF7">
        <w:rPr>
          <w:i/>
          <w:iCs/>
          <w:color w:val="000000" w:themeColor="text1"/>
          <w:lang w:eastAsia="ar-SA"/>
        </w:rPr>
        <w:t xml:space="preserve">. W związku z powyższym </w:t>
      </w:r>
      <w:r w:rsidRPr="00856DF7">
        <w:rPr>
          <w:rFonts w:eastAsiaTheme="minorHAnsi"/>
          <w:i/>
          <w:iCs/>
          <w:lang w:eastAsia="en-US"/>
        </w:rPr>
        <w:t>nałoż</w:t>
      </w:r>
      <w:r w:rsidR="00856DF7">
        <w:rPr>
          <w:rFonts w:eastAsiaTheme="minorHAnsi"/>
          <w:i/>
          <w:iCs/>
          <w:lang w:eastAsia="en-US"/>
        </w:rPr>
        <w:t>ono</w:t>
      </w:r>
      <w:r w:rsidRPr="00856DF7">
        <w:rPr>
          <w:rFonts w:eastAsiaTheme="minorHAnsi"/>
          <w:i/>
          <w:iCs/>
          <w:lang w:eastAsia="en-US"/>
        </w:rPr>
        <w:t xml:space="preserve"> na kontrolowanych kary pieniężne o łącznej wartości </w:t>
      </w:r>
      <w:r w:rsidRPr="001E2135">
        <w:rPr>
          <w:rFonts w:eastAsiaTheme="minorHAnsi"/>
          <w:i/>
          <w:iCs/>
          <w:lang w:eastAsia="en-US"/>
        </w:rPr>
        <w:lastRenderedPageBreak/>
        <w:t>60 000 zł</w:t>
      </w:r>
      <w:r w:rsidRPr="00856DF7">
        <w:rPr>
          <w:rFonts w:eastAsiaTheme="minorHAnsi"/>
          <w:i/>
          <w:iCs/>
          <w:lang w:eastAsia="en-US"/>
        </w:rPr>
        <w:t>. W 2 przypadkach wydano również decyzję nakładające obowiązek uiszczenia kosztów badań laboratoryjnych w łącznej kwocie 7 180 zł.</w:t>
      </w:r>
    </w:p>
    <w:p w14:paraId="60C4DE0B" w14:textId="09F9F10C" w:rsidR="007D76BB" w:rsidRPr="00856DF7" w:rsidRDefault="007D76BB" w:rsidP="00F377D9">
      <w:pPr>
        <w:jc w:val="both"/>
        <w:rPr>
          <w:rFonts w:eastAsiaTheme="minorHAnsi"/>
          <w:i/>
          <w:iCs/>
          <w:lang w:eastAsia="en-US"/>
        </w:rPr>
      </w:pPr>
      <w:r w:rsidRPr="00856DF7">
        <w:rPr>
          <w:i/>
          <w:iCs/>
          <w:color w:val="000000" w:themeColor="text1"/>
          <w:lang w:eastAsia="ar-SA"/>
        </w:rPr>
        <w:t xml:space="preserve">Ponadto w </w:t>
      </w:r>
      <w:r w:rsidRPr="001E2135">
        <w:rPr>
          <w:i/>
          <w:iCs/>
          <w:color w:val="000000" w:themeColor="text1"/>
          <w:lang w:eastAsia="ar-SA"/>
        </w:rPr>
        <w:t>2 dwóch przypadkach</w:t>
      </w:r>
      <w:r w:rsidRPr="00856DF7">
        <w:rPr>
          <w:i/>
          <w:iCs/>
          <w:color w:val="000000" w:themeColor="text1"/>
          <w:lang w:eastAsia="ar-SA"/>
        </w:rPr>
        <w:t xml:space="preserve"> w trakcie trwania kontroli jakości paliw stwierdzono, że przedsiębiorcy nie wystawiali, nie przekazywali, i nie przechowywali świadectw jakości paliw stałych. W związku z tym </w:t>
      </w:r>
      <w:r w:rsidRPr="00856DF7">
        <w:rPr>
          <w:rFonts w:eastAsiaTheme="minorHAnsi"/>
          <w:i/>
          <w:iCs/>
          <w:lang w:eastAsia="en-US"/>
        </w:rPr>
        <w:t>nałoż</w:t>
      </w:r>
      <w:r w:rsidR="00856DF7">
        <w:rPr>
          <w:rFonts w:eastAsiaTheme="minorHAnsi"/>
          <w:i/>
          <w:iCs/>
          <w:lang w:eastAsia="en-US"/>
        </w:rPr>
        <w:t>ono</w:t>
      </w:r>
      <w:r w:rsidRPr="00856DF7">
        <w:rPr>
          <w:rFonts w:eastAsiaTheme="minorHAnsi"/>
          <w:i/>
          <w:iCs/>
          <w:lang w:eastAsia="en-US"/>
        </w:rPr>
        <w:t xml:space="preserve"> na kontrolowanych kary pieniężne o łącznej wartości </w:t>
      </w:r>
      <w:r w:rsidRPr="001E2135">
        <w:rPr>
          <w:rFonts w:eastAsiaTheme="minorHAnsi"/>
          <w:i/>
          <w:iCs/>
          <w:lang w:eastAsia="en-US"/>
        </w:rPr>
        <w:t xml:space="preserve">20 000 zł </w:t>
      </w:r>
      <w:r w:rsidRPr="00856DF7">
        <w:rPr>
          <w:rFonts w:eastAsiaTheme="minorHAnsi"/>
          <w:i/>
          <w:iCs/>
          <w:lang w:eastAsia="en-US"/>
        </w:rPr>
        <w:t xml:space="preserve">(każda z nałożonych kar stanowiła równowartość kwoty 10 000 zł). </w:t>
      </w:r>
    </w:p>
    <w:p w14:paraId="7B872F59" w14:textId="77777777" w:rsidR="007D76BB" w:rsidRPr="007D76BB" w:rsidRDefault="007D76BB" w:rsidP="0051208F">
      <w:pPr>
        <w:spacing w:line="276" w:lineRule="auto"/>
        <w:jc w:val="both"/>
        <w:rPr>
          <w:rFonts w:eastAsia="Times New Roman"/>
          <w:b/>
          <w:bCs/>
        </w:rPr>
      </w:pPr>
    </w:p>
    <w:p w14:paraId="0C3063FE" w14:textId="3413D173" w:rsidR="007D76BB" w:rsidRDefault="00A0065F" w:rsidP="00F377D9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2). </w:t>
      </w:r>
      <w:r w:rsidR="007D76BB" w:rsidRPr="007D76BB">
        <w:rPr>
          <w:rFonts w:eastAsia="Times New Roman"/>
          <w:b/>
          <w:bCs/>
        </w:rPr>
        <w:t>Kontrola infrastruktury paliw ciekłych.</w:t>
      </w:r>
    </w:p>
    <w:p w14:paraId="6C12DCDE" w14:textId="77777777" w:rsidR="001E2135" w:rsidRPr="007D76BB" w:rsidRDefault="001E2135" w:rsidP="00F377D9">
      <w:pPr>
        <w:jc w:val="both"/>
        <w:rPr>
          <w:rFonts w:eastAsia="Times New Roman"/>
          <w:b/>
          <w:bCs/>
        </w:rPr>
      </w:pPr>
    </w:p>
    <w:p w14:paraId="2FA0D267" w14:textId="17198BE9" w:rsidR="007D76BB" w:rsidRPr="00856DF7" w:rsidRDefault="007D76BB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56DF7">
        <w:rPr>
          <w:rFonts w:eastAsia="Times New Roman"/>
        </w:rPr>
        <w:t xml:space="preserve">Kontrolą objęto </w:t>
      </w:r>
      <w:r w:rsidRPr="001E2135">
        <w:rPr>
          <w:rFonts w:eastAsia="Times New Roman"/>
          <w:b/>
        </w:rPr>
        <w:t>14 przedsiębiorców</w:t>
      </w:r>
      <w:r w:rsidRPr="00856DF7">
        <w:rPr>
          <w:rFonts w:eastAsia="Times New Roman"/>
        </w:rPr>
        <w:t xml:space="preserve"> prowadzących stacje paliw, nieprawidłowości stwierdzono w </w:t>
      </w:r>
      <w:r w:rsidRPr="001E2135">
        <w:rPr>
          <w:rFonts w:eastAsia="Times New Roman"/>
          <w:b/>
        </w:rPr>
        <w:t>6 przypadkach</w:t>
      </w:r>
      <w:r w:rsidRPr="00856DF7">
        <w:rPr>
          <w:rFonts w:eastAsia="Times New Roman"/>
        </w:rPr>
        <w:t xml:space="preserve"> </w:t>
      </w:r>
      <w:r w:rsidR="00540531">
        <w:rPr>
          <w:rFonts w:eastAsia="Times New Roman"/>
        </w:rPr>
        <w:t>(</w:t>
      </w:r>
      <w:r w:rsidRPr="00856DF7">
        <w:rPr>
          <w:rFonts w:eastAsia="Times New Roman"/>
        </w:rPr>
        <w:t>43% skontrolowanych</w:t>
      </w:r>
      <w:r w:rsidR="00540531">
        <w:rPr>
          <w:rFonts w:eastAsia="Times New Roman"/>
        </w:rPr>
        <w:t>)</w:t>
      </w:r>
      <w:r w:rsidRPr="00856DF7">
        <w:rPr>
          <w:rFonts w:eastAsia="Times New Roman"/>
        </w:rPr>
        <w:t>.</w:t>
      </w:r>
    </w:p>
    <w:p w14:paraId="66E05E2D" w14:textId="77777777" w:rsidR="007D76BB" w:rsidRPr="00856DF7" w:rsidRDefault="007D76BB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u w:val="single"/>
        </w:rPr>
      </w:pPr>
    </w:p>
    <w:p w14:paraId="67A5655B" w14:textId="77777777" w:rsidR="007D76BB" w:rsidRPr="00856DF7" w:rsidRDefault="007D76BB" w:rsidP="00F377D9">
      <w:pPr>
        <w:jc w:val="both"/>
      </w:pPr>
      <w:r w:rsidRPr="00856DF7">
        <w:t>Wszystkie stwierdzone nieprawidłowości dotyczyły łącznej pojemności zbiorników znajdującej się w rejestrze infrastruktury w Urzędzie Regulacji Energetyki, która nie była zgodna z łączną pojemnością zbiorników znajdujących się na stacjach paliw. O stwierdzonych w trakcie kontroli nieprawidłowościach dotyczących infrastruktury stacji paliw poinformowano Urząd Regulacji Energetyki.</w:t>
      </w:r>
    </w:p>
    <w:p w14:paraId="4F2E4F64" w14:textId="77777777" w:rsidR="007D76BB" w:rsidRPr="00856DF7" w:rsidRDefault="007D76BB" w:rsidP="00F377D9">
      <w:pPr>
        <w:widowControl w:val="0"/>
        <w:autoSpaceDE w:val="0"/>
        <w:autoSpaceDN w:val="0"/>
        <w:adjustRightInd w:val="0"/>
        <w:jc w:val="both"/>
      </w:pPr>
    </w:p>
    <w:p w14:paraId="62864996" w14:textId="6B2B2BBE" w:rsidR="007D76BB" w:rsidRDefault="00A0065F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3). </w:t>
      </w:r>
      <w:r w:rsidR="007D76BB" w:rsidRPr="00856DF7">
        <w:rPr>
          <w:rFonts w:eastAsia="Times New Roman"/>
          <w:b/>
          <w:bCs/>
        </w:rPr>
        <w:t>Kontrola świadectw jakości paliw stałych</w:t>
      </w:r>
    </w:p>
    <w:p w14:paraId="2AB01042" w14:textId="77777777" w:rsidR="001E2135" w:rsidRPr="00856DF7" w:rsidRDefault="001E2135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14:paraId="2C175F6A" w14:textId="3AA8A834" w:rsidR="007D76BB" w:rsidRDefault="00A00031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56DF7">
        <w:rPr>
          <w:rFonts w:eastAsia="Times New Roman"/>
        </w:rPr>
        <w:t>W trakcie</w:t>
      </w:r>
      <w:r w:rsidR="007D76BB" w:rsidRPr="00856DF7">
        <w:rPr>
          <w:rFonts w:eastAsia="Times New Roman"/>
        </w:rPr>
        <w:t xml:space="preserve"> </w:t>
      </w:r>
      <w:r w:rsidR="007D76BB" w:rsidRPr="001E2135">
        <w:rPr>
          <w:rFonts w:eastAsia="Times New Roman"/>
          <w:b/>
        </w:rPr>
        <w:t>14 kontroli</w:t>
      </w:r>
      <w:r w:rsidR="007D76BB" w:rsidRPr="00856DF7">
        <w:rPr>
          <w:rFonts w:eastAsia="Times New Roman"/>
        </w:rPr>
        <w:t xml:space="preserve"> dokonano sprawdzenia realizacji obowiązku wystawiania świadectw jakości węgla. Nieprawidłowości stwierdzono w </w:t>
      </w:r>
      <w:r w:rsidR="007D76BB" w:rsidRPr="001E2135">
        <w:rPr>
          <w:rFonts w:eastAsia="Times New Roman"/>
          <w:b/>
        </w:rPr>
        <w:t>13 placówkach</w:t>
      </w:r>
      <w:r w:rsidRPr="00856DF7">
        <w:rPr>
          <w:rFonts w:eastAsia="Times New Roman"/>
        </w:rPr>
        <w:t>,</w:t>
      </w:r>
      <w:r w:rsidR="007D76BB" w:rsidRPr="00856DF7">
        <w:rPr>
          <w:rFonts w:eastAsia="Times New Roman"/>
        </w:rPr>
        <w:t xml:space="preserve"> co stanowi 93% wszystkich skontrolowanych podmiotów.</w:t>
      </w:r>
    </w:p>
    <w:p w14:paraId="3F6C8520" w14:textId="77777777" w:rsidR="001E2135" w:rsidRPr="00856DF7" w:rsidRDefault="001E2135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7659E8BF" w14:textId="6CE74E6E" w:rsidR="007D76BB" w:rsidRPr="00540531" w:rsidRDefault="007D76BB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u w:val="single"/>
        </w:rPr>
      </w:pPr>
      <w:r w:rsidRPr="00540531">
        <w:rPr>
          <w:rFonts w:eastAsia="Times New Roman"/>
          <w:i/>
          <w:iCs/>
          <w:u w:val="single"/>
        </w:rPr>
        <w:t>Przykład:</w:t>
      </w:r>
    </w:p>
    <w:p w14:paraId="09FAF1C8" w14:textId="6D5636EE" w:rsidR="007D76BB" w:rsidRPr="00540531" w:rsidRDefault="007D76BB" w:rsidP="00F377D9">
      <w:pPr>
        <w:jc w:val="both"/>
        <w:rPr>
          <w:rFonts w:eastAsiaTheme="minorHAnsi"/>
          <w:i/>
          <w:iCs/>
          <w:lang w:eastAsia="en-US"/>
        </w:rPr>
      </w:pPr>
      <w:r w:rsidRPr="00540531">
        <w:rPr>
          <w:rFonts w:eastAsia="Times New Roman"/>
          <w:i/>
          <w:iCs/>
        </w:rPr>
        <w:t>W</w:t>
      </w:r>
      <w:r w:rsidRPr="00540531">
        <w:rPr>
          <w:i/>
          <w:iCs/>
          <w:color w:val="000000" w:themeColor="text1"/>
          <w:lang w:eastAsia="ar-SA"/>
        </w:rPr>
        <w:t xml:space="preserve"> 2 dwóch przypadkach stwierdzono, że przedsiębiorcy nie wystawiali, nie przekazywali i nie przechowywali świadectw jakości paliw stałych. W związku z tym Podlaski Wojewódzki Inspektor Inspekcji Handlowej w Białymstoku </w:t>
      </w:r>
      <w:r w:rsidRPr="00540531">
        <w:rPr>
          <w:rFonts w:eastAsiaTheme="minorHAnsi"/>
          <w:i/>
          <w:iCs/>
          <w:lang w:eastAsia="en-US"/>
        </w:rPr>
        <w:t>nałożył na kontrolowanych kary pieniężne o łącznej wartości 20 000 zł</w:t>
      </w:r>
      <w:r w:rsidRPr="00540531">
        <w:rPr>
          <w:rFonts w:eastAsiaTheme="minorHAnsi"/>
          <w:b/>
          <w:i/>
          <w:iCs/>
          <w:lang w:eastAsia="en-US"/>
        </w:rPr>
        <w:t xml:space="preserve"> </w:t>
      </w:r>
      <w:r w:rsidRPr="00540531">
        <w:rPr>
          <w:rFonts w:eastAsiaTheme="minorHAnsi"/>
          <w:bCs/>
          <w:i/>
          <w:iCs/>
          <w:lang w:eastAsia="en-US"/>
        </w:rPr>
        <w:t>(każda z nałożonych kar stanowiła równowartość kwoty 10 000 zł)</w:t>
      </w:r>
      <w:r w:rsidRPr="00540531">
        <w:rPr>
          <w:rFonts w:eastAsiaTheme="minorHAnsi"/>
          <w:i/>
          <w:iCs/>
          <w:lang w:eastAsia="en-US"/>
        </w:rPr>
        <w:t xml:space="preserve">. </w:t>
      </w:r>
    </w:p>
    <w:p w14:paraId="6D4E328E" w14:textId="6B5AA310" w:rsidR="00E80632" w:rsidRPr="008924E7" w:rsidRDefault="00E80632" w:rsidP="00F377D9">
      <w:pPr>
        <w:widowControl w:val="0"/>
        <w:suppressAutoHyphens/>
        <w:jc w:val="both"/>
        <w:rPr>
          <w:rFonts w:eastAsia="HG Mincho Light J"/>
          <w:b/>
          <w:bCs/>
        </w:rPr>
      </w:pPr>
    </w:p>
    <w:p w14:paraId="66AF189E" w14:textId="18ECEEE7" w:rsidR="00E80632" w:rsidRDefault="00A0065F" w:rsidP="00F377D9">
      <w:pPr>
        <w:widowControl w:val="0"/>
        <w:suppressAutoHyphens/>
        <w:jc w:val="both"/>
        <w:rPr>
          <w:rFonts w:eastAsia="HG Mincho Light J"/>
          <w:b/>
          <w:bCs/>
        </w:rPr>
      </w:pPr>
      <w:r>
        <w:rPr>
          <w:rFonts w:eastAsia="HG Mincho Light J"/>
          <w:b/>
          <w:bCs/>
        </w:rPr>
        <w:t xml:space="preserve">4). </w:t>
      </w:r>
      <w:r w:rsidR="00E80632" w:rsidRPr="00856DF7">
        <w:rPr>
          <w:rFonts w:eastAsia="HG Mincho Light J"/>
          <w:b/>
          <w:bCs/>
        </w:rPr>
        <w:t>Obszar nadzoru rynku</w:t>
      </w:r>
      <w:bookmarkStart w:id="0" w:name="_Hlk62033535"/>
    </w:p>
    <w:p w14:paraId="413BEB9A" w14:textId="6741F605" w:rsidR="001E2135" w:rsidRPr="00856DF7" w:rsidRDefault="001E2135" w:rsidP="00F377D9">
      <w:pPr>
        <w:widowControl w:val="0"/>
        <w:suppressAutoHyphens/>
        <w:jc w:val="both"/>
        <w:rPr>
          <w:rFonts w:eastAsia="HG Mincho Light J"/>
          <w:b/>
          <w:bCs/>
        </w:rPr>
      </w:pPr>
    </w:p>
    <w:bookmarkEnd w:id="0"/>
    <w:p w14:paraId="501FCDD0" w14:textId="7DE2D072" w:rsidR="001B0087" w:rsidRPr="00856DF7" w:rsidRDefault="001C2F1D" w:rsidP="00F377D9">
      <w:pPr>
        <w:jc w:val="both"/>
      </w:pPr>
      <w:r w:rsidRPr="00856DF7">
        <w:rPr>
          <w:rFonts w:eastAsia="HG Mincho Light J"/>
        </w:rPr>
        <w:t xml:space="preserve">Przeprowadzono </w:t>
      </w:r>
      <w:r w:rsidRPr="001E2135">
        <w:rPr>
          <w:rFonts w:eastAsia="HG Mincho Light J"/>
          <w:b/>
        </w:rPr>
        <w:t>64 kontrole</w:t>
      </w:r>
      <w:r w:rsidR="00911D2E" w:rsidRPr="00856DF7">
        <w:rPr>
          <w:rFonts w:eastAsia="HG Mincho Light J"/>
        </w:rPr>
        <w:t>,</w:t>
      </w:r>
      <w:r w:rsidRPr="00856DF7">
        <w:rPr>
          <w:rFonts w:eastAsia="HG Mincho Light J"/>
        </w:rPr>
        <w:t xml:space="preserve"> obejmując sprawdzeniem </w:t>
      </w:r>
      <w:r w:rsidRPr="001E2135">
        <w:rPr>
          <w:rFonts w:eastAsia="HG Mincho Light J"/>
          <w:b/>
        </w:rPr>
        <w:t>98 partii produktów</w:t>
      </w:r>
      <w:r w:rsidRPr="00856DF7">
        <w:rPr>
          <w:rFonts w:eastAsia="HG Mincho Light J"/>
        </w:rPr>
        <w:t>,</w:t>
      </w:r>
      <w:r w:rsidR="00911D2E" w:rsidRPr="00856DF7">
        <w:rPr>
          <w:rFonts w:eastAsia="HG Mincho Light J"/>
        </w:rPr>
        <w:t xml:space="preserve"> z czego</w:t>
      </w:r>
      <w:r w:rsidRPr="00856DF7">
        <w:rPr>
          <w:rFonts w:eastAsia="HG Mincho Light J"/>
        </w:rPr>
        <w:t xml:space="preserve"> </w:t>
      </w:r>
      <w:r w:rsidR="001E2135">
        <w:rPr>
          <w:rFonts w:eastAsia="HG Mincho Light J"/>
        </w:rPr>
        <w:t>z</w:t>
      </w:r>
      <w:r w:rsidRPr="00856DF7">
        <w:rPr>
          <w:rFonts w:eastAsia="HG Mincho Light J"/>
        </w:rPr>
        <w:t xml:space="preserve">akwestionowano </w:t>
      </w:r>
      <w:r w:rsidRPr="001E2135">
        <w:rPr>
          <w:rFonts w:eastAsia="HG Mincho Light J"/>
          <w:b/>
        </w:rPr>
        <w:t>63 partie</w:t>
      </w:r>
      <w:r w:rsidR="001E2135">
        <w:rPr>
          <w:rFonts w:eastAsia="HG Mincho Light J"/>
        </w:rPr>
        <w:t xml:space="preserve"> </w:t>
      </w:r>
      <w:r w:rsidR="00540531">
        <w:rPr>
          <w:rFonts w:eastAsia="HG Mincho Light J"/>
        </w:rPr>
        <w:t>(</w:t>
      </w:r>
      <w:r w:rsidRPr="00856DF7">
        <w:rPr>
          <w:rFonts w:eastAsia="HG Mincho Light J"/>
        </w:rPr>
        <w:t>64% skontrolowanych</w:t>
      </w:r>
      <w:r w:rsidR="00540531">
        <w:rPr>
          <w:rFonts w:eastAsia="HG Mincho Light J"/>
        </w:rPr>
        <w:t>)</w:t>
      </w:r>
      <w:r w:rsidRPr="00856DF7">
        <w:rPr>
          <w:rFonts w:eastAsia="HG Mincho Light J"/>
        </w:rPr>
        <w:t>.</w:t>
      </w:r>
      <w:r w:rsidR="009F3027" w:rsidRPr="00856DF7">
        <w:t xml:space="preserve"> </w:t>
      </w:r>
    </w:p>
    <w:p w14:paraId="5A11ACBB" w14:textId="688813FA" w:rsidR="001C2F1D" w:rsidRDefault="00A100B3" w:rsidP="00F377D9">
      <w:pPr>
        <w:jc w:val="both"/>
      </w:pPr>
      <w:r w:rsidRPr="00856DF7">
        <w:rPr>
          <w:rFonts w:eastAsia="HG Mincho Light J"/>
          <w:b/>
          <w:bCs/>
          <w:noProof/>
          <w:color w:val="FF0000"/>
        </w:rPr>
        <w:drawing>
          <wp:anchor distT="0" distB="0" distL="114300" distR="114300" simplePos="0" relativeHeight="251654144" behindDoc="1" locked="0" layoutInCell="1" allowOverlap="1" wp14:anchorId="7F0EEB7C" wp14:editId="6B7512DD">
            <wp:simplePos x="0" y="0"/>
            <wp:positionH relativeFrom="margin">
              <wp:posOffset>3366770</wp:posOffset>
            </wp:positionH>
            <wp:positionV relativeFrom="margin">
              <wp:posOffset>5367020</wp:posOffset>
            </wp:positionV>
            <wp:extent cx="240982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15" y="21462"/>
                <wp:lineTo x="21515" y="0"/>
                <wp:lineTo x="0" y="0"/>
              </wp:wrapPolygon>
            </wp:wrapTight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27" w:rsidRPr="00856DF7">
        <w:t xml:space="preserve">Do badań laboratoryjnych przekazano </w:t>
      </w:r>
      <w:r w:rsidR="009F3027" w:rsidRPr="001E2135">
        <w:rPr>
          <w:b/>
        </w:rPr>
        <w:t>42 próbki</w:t>
      </w:r>
      <w:r w:rsidR="009F3027" w:rsidRPr="00856DF7">
        <w:t xml:space="preserve">, z czego zakwestionowano </w:t>
      </w:r>
      <w:r w:rsidR="009F3027" w:rsidRPr="001E2135">
        <w:rPr>
          <w:b/>
        </w:rPr>
        <w:t>16</w:t>
      </w:r>
      <w:r w:rsidR="001E2135">
        <w:rPr>
          <w:b/>
        </w:rPr>
        <w:t xml:space="preserve"> </w:t>
      </w:r>
      <w:r w:rsidR="001E2135" w:rsidRPr="001E2135">
        <w:t>z uwagi na ujawnienie</w:t>
      </w:r>
      <w:r w:rsidR="001E2135">
        <w:rPr>
          <w:b/>
        </w:rPr>
        <w:t xml:space="preserve"> </w:t>
      </w:r>
      <w:r w:rsidR="001E2135" w:rsidRPr="001E2135">
        <w:t>niezgodności o charakterze konstrukcyjnym</w:t>
      </w:r>
      <w:r w:rsidR="001E2135">
        <w:t xml:space="preserve"> (30%)</w:t>
      </w:r>
      <w:r w:rsidR="009F3027" w:rsidRPr="00856DF7">
        <w:t>.</w:t>
      </w:r>
    </w:p>
    <w:p w14:paraId="6EB92800" w14:textId="32543474" w:rsidR="001E2135" w:rsidRPr="00856DF7" w:rsidRDefault="001E2135" w:rsidP="00F377D9">
      <w:pPr>
        <w:jc w:val="both"/>
      </w:pPr>
    </w:p>
    <w:p w14:paraId="24BF8CA9" w14:textId="2C3FC94B" w:rsidR="001C2F1D" w:rsidRPr="00540531" w:rsidRDefault="001C2F1D" w:rsidP="00F377D9">
      <w:pPr>
        <w:widowControl w:val="0"/>
        <w:suppressAutoHyphens/>
        <w:jc w:val="both"/>
        <w:rPr>
          <w:rFonts w:eastAsia="HG Mincho Light J"/>
          <w:i/>
          <w:iCs/>
          <w:u w:val="single"/>
        </w:rPr>
      </w:pPr>
      <w:r w:rsidRPr="00540531">
        <w:rPr>
          <w:rFonts w:eastAsia="HG Mincho Light J"/>
          <w:i/>
          <w:iCs/>
          <w:u w:val="single"/>
        </w:rPr>
        <w:t xml:space="preserve">Przykłady: </w:t>
      </w:r>
    </w:p>
    <w:p w14:paraId="6383F467" w14:textId="56456093" w:rsidR="001C2F1D" w:rsidRPr="00540531" w:rsidRDefault="001C2F1D" w:rsidP="00F377D9">
      <w:pPr>
        <w:numPr>
          <w:ilvl w:val="0"/>
          <w:numId w:val="14"/>
        </w:numPr>
        <w:suppressAutoHyphens/>
        <w:jc w:val="both"/>
        <w:rPr>
          <w:rFonts w:eastAsia="HG Mincho Light J"/>
          <w:i/>
          <w:iCs/>
          <w:color w:val="FF0000"/>
          <w:lang w:eastAsia="ar-SA"/>
        </w:rPr>
      </w:pPr>
      <w:r w:rsidRPr="00540531">
        <w:rPr>
          <w:rFonts w:eastAsia="Calibri"/>
          <w:i/>
          <w:iCs/>
          <w:lang w:eastAsia="ar-SA"/>
        </w:rPr>
        <w:t>Zakwestionowano 1 partię</w:t>
      </w:r>
      <w:r w:rsidRPr="00540531">
        <w:rPr>
          <w:rFonts w:eastAsia="Calibri"/>
          <w:b/>
          <w:bCs/>
          <w:i/>
          <w:iCs/>
          <w:lang w:eastAsia="ar-SA"/>
        </w:rPr>
        <w:t xml:space="preserve"> </w:t>
      </w:r>
      <w:r w:rsidRPr="00540531">
        <w:rPr>
          <w:rFonts w:eastAsia="Calibri"/>
          <w:i/>
          <w:iCs/>
          <w:lang w:eastAsia="ar-SA"/>
        </w:rPr>
        <w:t xml:space="preserve">podnośnika trapezowego. </w:t>
      </w:r>
      <w:r w:rsidR="00540531">
        <w:rPr>
          <w:rFonts w:eastAsia="Calibri"/>
          <w:i/>
          <w:iCs/>
          <w:lang w:eastAsia="ar-SA"/>
        </w:rPr>
        <w:t>W</w:t>
      </w:r>
      <w:r w:rsidRPr="00540531">
        <w:rPr>
          <w:rFonts w:eastAsia="HG Mincho Light J"/>
          <w:i/>
          <w:iCs/>
          <w:lang w:eastAsia="ar-SA"/>
        </w:rPr>
        <w:t xml:space="preserve"> trakcie </w:t>
      </w:r>
      <w:r w:rsidR="00540531">
        <w:rPr>
          <w:rFonts w:eastAsia="HG Mincho Light J"/>
          <w:i/>
          <w:iCs/>
          <w:lang w:eastAsia="ar-SA"/>
        </w:rPr>
        <w:t xml:space="preserve">badania laboratoryjnego </w:t>
      </w:r>
      <w:r w:rsidRPr="00540531">
        <w:rPr>
          <w:rFonts w:eastAsia="HG Mincho Light J"/>
          <w:i/>
          <w:iCs/>
          <w:lang w:eastAsia="ar-SA"/>
        </w:rPr>
        <w:t>wyrób nie przeszedł</w:t>
      </w:r>
      <w:r w:rsidRPr="00540531">
        <w:rPr>
          <w:rFonts w:eastAsia="HG Mincho Light J"/>
          <w:i/>
          <w:iCs/>
          <w:color w:val="FF0000"/>
          <w:lang w:eastAsia="ar-SA"/>
        </w:rPr>
        <w:t xml:space="preserve"> </w:t>
      </w:r>
      <w:r w:rsidRPr="00540531">
        <w:rPr>
          <w:rFonts w:eastAsia="Calibri"/>
          <w:bCs/>
          <w:i/>
          <w:iCs/>
          <w:lang w:eastAsia="ar-SA"/>
        </w:rPr>
        <w:t xml:space="preserve">próby obciążeniowej ruchowej z udźwigiem nominalnym – w połowie wysokości podnoszenia nastąpiło odkształcenie trwałe konstrukcji podnośnika. Wynik wykonanej próby ruchowej z ładunkiem równym udźwigowi nominalnemu poprzez podniesienie ładunku na maksymalną wysokość uznano za zakończony wynikiem negatywnym. W </w:t>
      </w:r>
      <w:r w:rsidRPr="00540531">
        <w:rPr>
          <w:rFonts w:eastAsia="Calibri"/>
          <w:bCs/>
          <w:i/>
          <w:iCs/>
          <w:lang w:eastAsia="ar-SA"/>
        </w:rPr>
        <w:lastRenderedPageBreak/>
        <w:t>związku z tym wycofano całą partię podnośnika ze sprzedaży, a sprawę przekazano do Prezesa UOKiK w celu dalszego postępowania.</w:t>
      </w:r>
      <w:r w:rsidRPr="00540531">
        <w:rPr>
          <w:rFonts w:eastAsia="HG Mincho Light J"/>
          <w:i/>
          <w:iCs/>
          <w:color w:val="FF0000"/>
          <w:lang w:eastAsia="ar-SA"/>
        </w:rPr>
        <w:t xml:space="preserve">  </w:t>
      </w:r>
    </w:p>
    <w:p w14:paraId="5843F86C" w14:textId="7D47F129" w:rsidR="001C2F1D" w:rsidRPr="00540531" w:rsidRDefault="001C2F1D" w:rsidP="00F377D9">
      <w:pPr>
        <w:numPr>
          <w:ilvl w:val="0"/>
          <w:numId w:val="14"/>
        </w:numPr>
        <w:suppressAutoHyphens/>
        <w:jc w:val="both"/>
        <w:rPr>
          <w:rFonts w:eastAsia="HG Mincho Light J"/>
          <w:i/>
          <w:iCs/>
          <w:lang w:eastAsia="ar-SA"/>
        </w:rPr>
      </w:pPr>
      <w:r w:rsidRPr="00540531">
        <w:rPr>
          <w:rFonts w:eastAsia="HG Mincho Light J"/>
          <w:i/>
          <w:iCs/>
          <w:lang w:eastAsia="ar-SA"/>
        </w:rPr>
        <w:t xml:space="preserve">Zakwestionowano 4 partie opraw oświetleniowych w związku z wadami konstrukcyjnymi ujawnionymi w trakcie badań laboratoryjnych. W 3 przypadkach wady powodowały poważne ryzyko porażenia prądem. W związku z tym wycofano ze sprzedaży oprawy oświetleniowe znajdujące się na stanach magazynowych kontrolowanych firm. Ponadto przedsiębiorcy </w:t>
      </w:r>
      <w:r w:rsidR="00540531">
        <w:rPr>
          <w:rFonts w:eastAsia="HG Mincho Light J"/>
          <w:i/>
          <w:iCs/>
          <w:lang w:eastAsia="ar-SA"/>
        </w:rPr>
        <w:t xml:space="preserve">poinformowali </w:t>
      </w:r>
      <w:r w:rsidRPr="00540531">
        <w:rPr>
          <w:rFonts w:eastAsia="HG Mincho Light J"/>
          <w:i/>
          <w:iCs/>
          <w:lang w:eastAsia="ar-SA"/>
        </w:rPr>
        <w:t xml:space="preserve">klientów o możliwości zwrotu zakupionych towarów, a sprawy przekazano do Prezesa UOKiK w celu dalszego postępowania. </w:t>
      </w:r>
    </w:p>
    <w:p w14:paraId="39A7AE07" w14:textId="19FF70B6" w:rsidR="0051208F" w:rsidRPr="00540531" w:rsidRDefault="001C2F1D" w:rsidP="00F377D9">
      <w:pPr>
        <w:numPr>
          <w:ilvl w:val="0"/>
          <w:numId w:val="14"/>
        </w:numPr>
        <w:suppressAutoHyphens/>
        <w:ind w:hanging="294"/>
        <w:jc w:val="both"/>
        <w:rPr>
          <w:rFonts w:eastAsia="HG Mincho Light J"/>
          <w:i/>
          <w:iCs/>
          <w:lang w:eastAsia="ar-SA"/>
        </w:rPr>
      </w:pPr>
      <w:r w:rsidRPr="00540531">
        <w:rPr>
          <w:rFonts w:eastAsia="Calibri"/>
          <w:bCs/>
          <w:i/>
          <w:iCs/>
          <w:lang w:eastAsia="ar-SA"/>
        </w:rPr>
        <w:t>W trakcie kontroli bezpieczeństwa chemicznego zabawek</w:t>
      </w:r>
      <w:r w:rsidR="00540531">
        <w:rPr>
          <w:rFonts w:eastAsia="Calibri"/>
          <w:bCs/>
          <w:i/>
          <w:iCs/>
          <w:lang w:eastAsia="ar-SA"/>
        </w:rPr>
        <w:t xml:space="preserve"> (</w:t>
      </w:r>
      <w:proofErr w:type="spellStart"/>
      <w:r w:rsidRPr="00540531">
        <w:rPr>
          <w:rFonts w:eastAsia="Calibri"/>
          <w:bCs/>
          <w:i/>
          <w:iCs/>
          <w:lang w:eastAsia="ar-SA"/>
        </w:rPr>
        <w:t>ftalany</w:t>
      </w:r>
      <w:proofErr w:type="spellEnd"/>
      <w:r w:rsidR="00540531">
        <w:rPr>
          <w:rFonts w:eastAsia="Calibri"/>
          <w:bCs/>
          <w:i/>
          <w:iCs/>
          <w:lang w:eastAsia="ar-SA"/>
        </w:rPr>
        <w:t>)</w:t>
      </w:r>
      <w:r w:rsidRPr="00540531">
        <w:rPr>
          <w:rFonts w:eastAsia="Calibri"/>
          <w:bCs/>
          <w:i/>
          <w:iCs/>
          <w:lang w:eastAsia="ar-SA"/>
        </w:rPr>
        <w:t xml:space="preserve"> </w:t>
      </w:r>
      <w:r w:rsidRPr="00540531">
        <w:rPr>
          <w:rFonts w:eastAsia="HG Mincho Light J"/>
          <w:i/>
          <w:iCs/>
          <w:lang w:eastAsia="ar-SA"/>
        </w:rPr>
        <w:t xml:space="preserve">badania </w:t>
      </w:r>
      <w:r w:rsidR="00540531">
        <w:rPr>
          <w:rFonts w:eastAsia="HG Mincho Light J"/>
          <w:i/>
          <w:iCs/>
          <w:lang w:eastAsia="ar-SA"/>
        </w:rPr>
        <w:t xml:space="preserve">laboratoryjne </w:t>
      </w:r>
      <w:r w:rsidRPr="00540531">
        <w:rPr>
          <w:rFonts w:eastAsia="HG Mincho Light J"/>
          <w:i/>
          <w:iCs/>
          <w:lang w:eastAsia="ar-SA"/>
        </w:rPr>
        <w:t xml:space="preserve">wykazały w odniesieniu do 4 partii zabawek (33%  zbadanych) niezgodności w zakresie zastosowanych materiałów. W zabawkach (w głowach lalek oraz piłkach) </w:t>
      </w:r>
      <w:r w:rsidR="00540531">
        <w:rPr>
          <w:rFonts w:eastAsia="HG Mincho Light J"/>
          <w:i/>
          <w:iCs/>
          <w:lang w:eastAsia="ar-SA"/>
        </w:rPr>
        <w:t xml:space="preserve">stwierdzono </w:t>
      </w:r>
      <w:r w:rsidRPr="00540531">
        <w:rPr>
          <w:rFonts w:eastAsia="HG Mincho Light J"/>
          <w:i/>
          <w:iCs/>
          <w:lang w:eastAsia="ar-SA"/>
        </w:rPr>
        <w:t xml:space="preserve">przekroczoną zawartość  </w:t>
      </w:r>
      <w:proofErr w:type="spellStart"/>
      <w:r w:rsidRPr="00540531">
        <w:rPr>
          <w:rFonts w:eastAsia="HG Mincho Light J"/>
          <w:i/>
          <w:iCs/>
          <w:lang w:eastAsia="ar-SA"/>
        </w:rPr>
        <w:t>ftalanu</w:t>
      </w:r>
      <w:proofErr w:type="spellEnd"/>
      <w:r w:rsidRPr="00540531">
        <w:rPr>
          <w:rFonts w:eastAsia="HG Mincho Light J"/>
          <w:i/>
          <w:iCs/>
          <w:lang w:eastAsia="ar-SA"/>
        </w:rPr>
        <w:t xml:space="preserve"> bis(2-etyloheksylu) (DEPH), </w:t>
      </w:r>
      <w:proofErr w:type="spellStart"/>
      <w:r w:rsidRPr="00540531">
        <w:rPr>
          <w:rFonts w:eastAsia="HG Mincho Light J"/>
          <w:i/>
          <w:iCs/>
          <w:lang w:eastAsia="ar-SA"/>
        </w:rPr>
        <w:t>ftalanu</w:t>
      </w:r>
      <w:proofErr w:type="spellEnd"/>
      <w:r w:rsidRPr="00540531">
        <w:rPr>
          <w:rFonts w:eastAsia="HG Mincho Light J"/>
          <w:i/>
          <w:iCs/>
          <w:lang w:eastAsia="ar-SA"/>
        </w:rPr>
        <w:t xml:space="preserve"> </w:t>
      </w:r>
      <w:proofErr w:type="spellStart"/>
      <w:r w:rsidRPr="00540531">
        <w:rPr>
          <w:rFonts w:eastAsia="HG Mincho Light J"/>
          <w:i/>
          <w:iCs/>
          <w:lang w:eastAsia="ar-SA"/>
        </w:rPr>
        <w:t>diizobutylu</w:t>
      </w:r>
      <w:proofErr w:type="spellEnd"/>
      <w:r w:rsidRPr="00540531">
        <w:rPr>
          <w:rFonts w:eastAsia="HG Mincho Light J"/>
          <w:i/>
          <w:iCs/>
          <w:lang w:eastAsia="ar-SA"/>
        </w:rPr>
        <w:t xml:space="preserve"> (DIBP). </w:t>
      </w:r>
      <w:r w:rsidR="00540531">
        <w:rPr>
          <w:rFonts w:eastAsia="HG Mincho Light J"/>
          <w:i/>
          <w:iCs/>
          <w:lang w:eastAsia="ar-SA"/>
        </w:rPr>
        <w:t>D</w:t>
      </w:r>
      <w:r w:rsidRPr="00540531">
        <w:rPr>
          <w:rFonts w:eastAsia="HG Mincho Light J"/>
          <w:i/>
          <w:iCs/>
          <w:lang w:eastAsia="ar-SA"/>
        </w:rPr>
        <w:t xml:space="preserve">o Prezesa UOKiK </w:t>
      </w:r>
      <w:r w:rsidR="00540531">
        <w:rPr>
          <w:rFonts w:eastAsia="HG Mincho Light J"/>
          <w:i/>
          <w:iCs/>
          <w:lang w:eastAsia="ar-SA"/>
        </w:rPr>
        <w:t>przekaz</w:t>
      </w:r>
      <w:r w:rsidR="00EF0D90">
        <w:rPr>
          <w:rFonts w:eastAsia="HG Mincho Light J"/>
          <w:i/>
          <w:iCs/>
          <w:lang w:eastAsia="ar-SA"/>
        </w:rPr>
        <w:t>a</w:t>
      </w:r>
      <w:r w:rsidR="00540531">
        <w:rPr>
          <w:rFonts w:eastAsia="HG Mincho Light J"/>
          <w:i/>
          <w:iCs/>
          <w:lang w:eastAsia="ar-SA"/>
        </w:rPr>
        <w:t>no</w:t>
      </w:r>
      <w:r w:rsidRPr="00540531">
        <w:rPr>
          <w:rFonts w:eastAsia="HG Mincho Light J"/>
          <w:i/>
          <w:iCs/>
          <w:lang w:eastAsia="ar-SA"/>
        </w:rPr>
        <w:t xml:space="preserve"> akta kontroli dotyczące zabawek z wnioskiem o wszczęcie postępowania administracyjnego, a kwestionowane zabawki wycofano ze sprzedaży.</w:t>
      </w:r>
    </w:p>
    <w:p w14:paraId="5B5CE8BA" w14:textId="5340E713" w:rsidR="00A0065F" w:rsidRPr="00856DF7" w:rsidRDefault="00A0065F" w:rsidP="00F377D9">
      <w:pPr>
        <w:suppressAutoHyphens/>
        <w:ind w:left="720"/>
        <w:jc w:val="both"/>
        <w:rPr>
          <w:rFonts w:eastAsia="HG Mincho Light J"/>
          <w:lang w:eastAsia="ar-SA"/>
        </w:rPr>
      </w:pPr>
    </w:p>
    <w:p w14:paraId="2AEEB530" w14:textId="40AD8327" w:rsidR="00E80632" w:rsidRDefault="00A0065F" w:rsidP="00F377D9">
      <w:pPr>
        <w:rPr>
          <w:rFonts w:eastAsia="HG Mincho Light J"/>
          <w:b/>
          <w:bCs/>
        </w:rPr>
      </w:pPr>
      <w:r>
        <w:rPr>
          <w:rFonts w:eastAsia="HG Mincho Light J"/>
          <w:b/>
          <w:bCs/>
        </w:rPr>
        <w:t xml:space="preserve">5). </w:t>
      </w:r>
      <w:r w:rsidR="00E80632" w:rsidRPr="00856DF7">
        <w:rPr>
          <w:rFonts w:eastAsia="HG Mincho Light J"/>
          <w:b/>
          <w:bCs/>
        </w:rPr>
        <w:t>Ogólne bezpieczeństwo</w:t>
      </w:r>
    </w:p>
    <w:p w14:paraId="0FCC6033" w14:textId="77777777" w:rsidR="001E2135" w:rsidRPr="00856DF7" w:rsidRDefault="001E2135" w:rsidP="00F377D9">
      <w:pPr>
        <w:rPr>
          <w:rFonts w:eastAsia="HG Mincho Light J"/>
          <w:b/>
          <w:bCs/>
        </w:rPr>
      </w:pPr>
    </w:p>
    <w:p w14:paraId="0F32D86A" w14:textId="29FF09BC" w:rsidR="001C2F1D" w:rsidRDefault="001C2F1D" w:rsidP="00F377D9">
      <w:pPr>
        <w:widowControl w:val="0"/>
        <w:suppressAutoHyphens/>
        <w:jc w:val="both"/>
        <w:rPr>
          <w:rFonts w:eastAsia="HG Mincho Light J"/>
        </w:rPr>
      </w:pPr>
      <w:r w:rsidRPr="00856DF7">
        <w:rPr>
          <w:rFonts w:eastAsia="HG Mincho Light J"/>
        </w:rPr>
        <w:t xml:space="preserve">Przeprowadzono </w:t>
      </w:r>
      <w:r w:rsidRPr="001E2135">
        <w:rPr>
          <w:rFonts w:eastAsia="HG Mincho Light J"/>
          <w:b/>
        </w:rPr>
        <w:t>14 kontroli</w:t>
      </w:r>
      <w:r w:rsidRPr="00856DF7">
        <w:rPr>
          <w:rFonts w:eastAsia="HG Mincho Light J"/>
        </w:rPr>
        <w:t xml:space="preserve">, obejmując sprawdzeniem </w:t>
      </w:r>
      <w:r w:rsidRPr="001E2135">
        <w:rPr>
          <w:rFonts w:eastAsia="HG Mincho Light J"/>
          <w:b/>
        </w:rPr>
        <w:t>24 partii produktów</w:t>
      </w:r>
      <w:r w:rsidR="00EF0D90">
        <w:rPr>
          <w:rFonts w:eastAsia="HG Mincho Light J"/>
        </w:rPr>
        <w:t>. Z</w:t>
      </w:r>
      <w:r w:rsidRPr="00856DF7">
        <w:rPr>
          <w:rFonts w:eastAsia="HG Mincho Light J"/>
        </w:rPr>
        <w:t xml:space="preserve">akwestionowano </w:t>
      </w:r>
      <w:r w:rsidRPr="001E2135">
        <w:rPr>
          <w:rFonts w:eastAsia="HG Mincho Light J"/>
          <w:b/>
        </w:rPr>
        <w:t>16 partii</w:t>
      </w:r>
      <w:r w:rsidR="00EF0D90">
        <w:rPr>
          <w:rFonts w:eastAsia="HG Mincho Light J"/>
        </w:rPr>
        <w:t xml:space="preserve"> (</w:t>
      </w:r>
      <w:r w:rsidRPr="00856DF7">
        <w:rPr>
          <w:rFonts w:eastAsia="HG Mincho Light J"/>
        </w:rPr>
        <w:t>66% skontrolowanych</w:t>
      </w:r>
      <w:r w:rsidR="00EF0D90">
        <w:rPr>
          <w:rFonts w:eastAsia="HG Mincho Light J"/>
        </w:rPr>
        <w:t>)</w:t>
      </w:r>
      <w:r w:rsidRPr="00856DF7">
        <w:rPr>
          <w:rFonts w:eastAsia="HG Mincho Light J"/>
        </w:rPr>
        <w:t>.</w:t>
      </w:r>
    </w:p>
    <w:p w14:paraId="2E934664" w14:textId="09515D24" w:rsidR="001E2135" w:rsidRPr="00856DF7" w:rsidRDefault="00A100B3" w:rsidP="00F377D9">
      <w:pPr>
        <w:widowControl w:val="0"/>
        <w:suppressAutoHyphens/>
        <w:jc w:val="both"/>
        <w:rPr>
          <w:rFonts w:eastAsia="HG Mincho Light J"/>
        </w:rPr>
      </w:pPr>
      <w:r w:rsidRPr="00856DF7">
        <w:rPr>
          <w:rFonts w:eastAsia="HG Mincho Light J"/>
          <w:b/>
          <w:bCs/>
          <w:noProof/>
          <w:color w:val="FF0000"/>
        </w:rPr>
        <w:drawing>
          <wp:anchor distT="0" distB="0" distL="114300" distR="114300" simplePos="0" relativeHeight="251655168" behindDoc="1" locked="0" layoutInCell="1" allowOverlap="1" wp14:anchorId="3F1161F3" wp14:editId="00479E42">
            <wp:simplePos x="0" y="0"/>
            <wp:positionH relativeFrom="margin">
              <wp:posOffset>3528695</wp:posOffset>
            </wp:positionH>
            <wp:positionV relativeFrom="page">
              <wp:posOffset>3914775</wp:posOffset>
            </wp:positionV>
            <wp:extent cx="231457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11" y="21534"/>
                <wp:lineTo x="21511" y="0"/>
                <wp:lineTo x="0" y="0"/>
              </wp:wrapPolygon>
            </wp:wrapTight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7219E" w14:textId="5B23D93A" w:rsidR="001C2F1D" w:rsidRPr="00EF0D90" w:rsidRDefault="001C2F1D" w:rsidP="00F377D9">
      <w:pPr>
        <w:widowControl w:val="0"/>
        <w:suppressAutoHyphens/>
        <w:jc w:val="both"/>
        <w:rPr>
          <w:rFonts w:eastAsia="HG Mincho Light J"/>
          <w:i/>
          <w:iCs/>
          <w:u w:val="single"/>
        </w:rPr>
      </w:pPr>
      <w:r w:rsidRPr="00EF0D90">
        <w:rPr>
          <w:rFonts w:eastAsia="HG Mincho Light J"/>
          <w:i/>
          <w:iCs/>
          <w:u w:val="single"/>
        </w:rPr>
        <w:t>Przykłady:</w:t>
      </w:r>
    </w:p>
    <w:p w14:paraId="7C818821" w14:textId="7B53DB2E" w:rsidR="001C2F1D" w:rsidRPr="00EF0D90" w:rsidRDefault="001C2F1D" w:rsidP="00F377D9">
      <w:pPr>
        <w:widowControl w:val="0"/>
        <w:numPr>
          <w:ilvl w:val="0"/>
          <w:numId w:val="12"/>
        </w:numPr>
        <w:suppressAutoHyphens/>
        <w:ind w:left="426" w:hanging="66"/>
        <w:jc w:val="both"/>
        <w:rPr>
          <w:rFonts w:eastAsia="HG Mincho Light J"/>
          <w:i/>
          <w:iCs/>
          <w:lang w:eastAsia="ar-SA"/>
        </w:rPr>
      </w:pPr>
      <w:r w:rsidRPr="00EF0D90">
        <w:rPr>
          <w:rFonts w:eastAsia="HG Mincho Light J"/>
          <w:i/>
          <w:iCs/>
          <w:lang w:eastAsia="ar-SA"/>
        </w:rPr>
        <w:t xml:space="preserve">W trakcie </w:t>
      </w:r>
      <w:r w:rsidR="00EF0D90" w:rsidRPr="00EF0D90">
        <w:rPr>
          <w:rFonts w:eastAsia="HG Mincho Light J"/>
          <w:i/>
          <w:iCs/>
          <w:lang w:eastAsia="ar-SA"/>
        </w:rPr>
        <w:t xml:space="preserve">badań laboratoryjnych </w:t>
      </w:r>
      <w:r w:rsidRPr="00EF0D90">
        <w:rPr>
          <w:rFonts w:eastAsia="HG Mincho Light J"/>
          <w:i/>
          <w:iCs/>
          <w:lang w:eastAsia="ar-SA"/>
        </w:rPr>
        <w:t xml:space="preserve">zakwestionowano </w:t>
      </w:r>
      <w:r w:rsidR="00EF0D90">
        <w:rPr>
          <w:rFonts w:eastAsia="HG Mincho Light J"/>
          <w:i/>
          <w:iCs/>
          <w:lang w:eastAsia="ar-SA"/>
        </w:rPr>
        <w:t xml:space="preserve">łóżeczko dziecięce </w:t>
      </w:r>
      <w:r w:rsidRPr="00EF0D90">
        <w:rPr>
          <w:rFonts w:eastAsia="HG Mincho Light J"/>
          <w:i/>
          <w:iCs/>
          <w:lang w:eastAsia="ar-SA"/>
        </w:rPr>
        <w:t>z uwagi na wady konstrukcyjne stwarzające poważne zagrożenie życia lub zdrowia potencjalnego użytkownika stwierdzone w trakcie. W związku z tym przedsiębiorca wycofał całą partie przedmiotowych łóżeczek ze sprzedaży, a sprawę przekazano do Prezesa UOKiK w celu dalszego postępowania.</w:t>
      </w:r>
    </w:p>
    <w:p w14:paraId="1050631C" w14:textId="138E1AF8" w:rsidR="001C2F1D" w:rsidRPr="00EF0D90" w:rsidRDefault="001C2F1D" w:rsidP="00F377D9">
      <w:pPr>
        <w:numPr>
          <w:ilvl w:val="0"/>
          <w:numId w:val="14"/>
        </w:numPr>
        <w:suppressAutoHyphens/>
        <w:ind w:left="426" w:firstLine="0"/>
        <w:jc w:val="both"/>
        <w:rPr>
          <w:rFonts w:eastAsia="HG Mincho Light J"/>
          <w:i/>
          <w:iCs/>
          <w:color w:val="FF0000"/>
          <w:lang w:eastAsia="ar-SA"/>
        </w:rPr>
      </w:pPr>
      <w:r w:rsidRPr="00EF0D90">
        <w:rPr>
          <w:rFonts w:eastAsia="HG Mincho Light J"/>
          <w:i/>
          <w:iCs/>
          <w:lang w:eastAsia="ar-SA"/>
        </w:rPr>
        <w:t>W trakcie kontroli fotelików rowerowych zakwestionowano  1 partię wyrobu z uwagi na ostre krawędzie powodujące możliwość zranienia, szczeliny w strefie dostępu powodujące możliwość zakleszczenia, oddzielanie się naklejek i kalkomanii na foteliku dla dzieci, które mieściły się w cylindrze do badania małych części, co mogło spowodować udławienie się dziecka. Biorąc pod uwagę ww. wyniki badań laboratoryjnych oraz fakt, iż kategorią konsumentów narażonych na niebezpieczeństwo związane z użytkowaniem ww. fotelika są konsumenci bardzo podatni na zagrożenia</w:t>
      </w:r>
      <w:r w:rsidR="006956C2" w:rsidRPr="00EF0D90">
        <w:rPr>
          <w:rFonts w:eastAsia="HG Mincho Light J"/>
          <w:i/>
          <w:iCs/>
          <w:lang w:eastAsia="ar-SA"/>
        </w:rPr>
        <w:t>,</w:t>
      </w:r>
      <w:r w:rsidRPr="00EF0D90">
        <w:rPr>
          <w:rFonts w:eastAsia="HG Mincho Light J"/>
          <w:i/>
          <w:iCs/>
          <w:lang w:eastAsia="ar-SA"/>
        </w:rPr>
        <w:t xml:space="preserve"> tj. bardzo małe dzieci do lat 3 oraz dzieci małe w wieku od 3 do  8 lat - dokonano oceny ryzyka przedmiotowego fotelika, w wyniku której ustalono dla tego wyrobu - całkowity poziom ryzyka WYSOKIE. </w:t>
      </w:r>
      <w:r w:rsidR="00EF0D90">
        <w:rPr>
          <w:rFonts w:eastAsia="HG Mincho Light J"/>
          <w:i/>
          <w:iCs/>
          <w:lang w:eastAsia="ar-SA"/>
        </w:rPr>
        <w:t>S</w:t>
      </w:r>
      <w:r w:rsidRPr="00EF0D90">
        <w:rPr>
          <w:rFonts w:eastAsia="HG Mincho Light J"/>
          <w:i/>
          <w:iCs/>
          <w:lang w:eastAsia="ar-SA"/>
        </w:rPr>
        <w:t>twierdzono, że przedmiotowy fotelik nie spełnia wymagań bezpieczeństwa i istnieje znaczne prawdopodobieństwo, że nie jest on produktem bezpiecznym.</w:t>
      </w:r>
      <w:r w:rsidRPr="00EF0D90">
        <w:rPr>
          <w:rFonts w:eastAsia="Calibri"/>
          <w:bCs/>
          <w:i/>
          <w:iCs/>
          <w:lang w:eastAsia="ar-SA"/>
        </w:rPr>
        <w:t xml:space="preserve"> W związku z tym wycofano całą partię fotelika ze sprzedaży</w:t>
      </w:r>
      <w:r w:rsidR="006956C2" w:rsidRPr="00EF0D90">
        <w:rPr>
          <w:rFonts w:eastAsia="Calibri"/>
          <w:bCs/>
          <w:i/>
          <w:iCs/>
          <w:lang w:eastAsia="ar-SA"/>
        </w:rPr>
        <w:t>,</w:t>
      </w:r>
      <w:r w:rsidRPr="00EF0D90">
        <w:rPr>
          <w:rFonts w:eastAsia="Calibri"/>
          <w:bCs/>
          <w:i/>
          <w:iCs/>
          <w:lang w:eastAsia="ar-SA"/>
        </w:rPr>
        <w:t xml:space="preserve"> a sprawę przekazano do Prezesa UOKiK w celu dalszego postępowania.</w:t>
      </w:r>
      <w:r w:rsidRPr="00EF0D90">
        <w:rPr>
          <w:rFonts w:eastAsia="HG Mincho Light J"/>
          <w:i/>
          <w:iCs/>
          <w:color w:val="FF0000"/>
          <w:lang w:eastAsia="ar-SA"/>
        </w:rPr>
        <w:t xml:space="preserve"> </w:t>
      </w:r>
    </w:p>
    <w:p w14:paraId="79CBC355" w14:textId="0DE799BA" w:rsidR="001C2F1D" w:rsidRPr="00856DF7" w:rsidRDefault="001C2F1D" w:rsidP="00F377D9">
      <w:pPr>
        <w:widowControl w:val="0"/>
        <w:suppressAutoHyphens/>
        <w:jc w:val="both"/>
        <w:rPr>
          <w:rFonts w:eastAsia="HG Mincho Light J"/>
          <w:b/>
          <w:bCs/>
        </w:rPr>
      </w:pPr>
    </w:p>
    <w:p w14:paraId="73EC6DA0" w14:textId="640E519D" w:rsidR="00E80632" w:rsidRDefault="00A0065F" w:rsidP="00F377D9">
      <w:pPr>
        <w:widowControl w:val="0"/>
        <w:suppressAutoHyphens/>
        <w:jc w:val="both"/>
        <w:rPr>
          <w:rFonts w:eastAsia="HG Mincho Light J"/>
          <w:b/>
          <w:bCs/>
        </w:rPr>
      </w:pPr>
      <w:r>
        <w:rPr>
          <w:rFonts w:eastAsia="HG Mincho Light J"/>
          <w:b/>
          <w:bCs/>
        </w:rPr>
        <w:t xml:space="preserve">6). </w:t>
      </w:r>
      <w:r w:rsidR="00E80632" w:rsidRPr="00856DF7">
        <w:rPr>
          <w:rFonts w:eastAsia="HG Mincho Light J"/>
          <w:b/>
          <w:bCs/>
        </w:rPr>
        <w:t>Informowanie konsumentów o cenach towarów i usług</w:t>
      </w:r>
    </w:p>
    <w:p w14:paraId="54E274CD" w14:textId="77777777" w:rsidR="00C35370" w:rsidRPr="00856DF7" w:rsidRDefault="00C35370" w:rsidP="00F377D9">
      <w:pPr>
        <w:widowControl w:val="0"/>
        <w:suppressAutoHyphens/>
        <w:jc w:val="both"/>
        <w:rPr>
          <w:rFonts w:eastAsia="HG Mincho Light J"/>
          <w:b/>
          <w:bCs/>
        </w:rPr>
      </w:pPr>
    </w:p>
    <w:p w14:paraId="11EC1471" w14:textId="774DB223" w:rsidR="00E80632" w:rsidRPr="00856DF7" w:rsidRDefault="00E80632" w:rsidP="00F377D9">
      <w:pPr>
        <w:widowControl w:val="0"/>
        <w:suppressAutoHyphens/>
        <w:jc w:val="both"/>
        <w:rPr>
          <w:rFonts w:eastAsia="HG Mincho Light J"/>
          <w:color w:val="000000" w:themeColor="text1"/>
        </w:rPr>
      </w:pPr>
      <w:r w:rsidRPr="00856DF7">
        <w:rPr>
          <w:rFonts w:eastAsia="HG Mincho Light J"/>
        </w:rPr>
        <w:t xml:space="preserve">Przeprowadzono </w:t>
      </w:r>
      <w:r w:rsidRPr="001E2135">
        <w:rPr>
          <w:rFonts w:eastAsia="HG Mincho Light J"/>
          <w:b/>
        </w:rPr>
        <w:t>1</w:t>
      </w:r>
      <w:r w:rsidR="00FF4479" w:rsidRPr="001E2135">
        <w:rPr>
          <w:rFonts w:eastAsia="HG Mincho Light J"/>
          <w:b/>
        </w:rPr>
        <w:t>15</w:t>
      </w:r>
      <w:r w:rsidRPr="001E2135">
        <w:rPr>
          <w:rFonts w:eastAsia="HG Mincho Light J"/>
          <w:b/>
        </w:rPr>
        <w:t xml:space="preserve"> kontroli</w:t>
      </w:r>
      <w:r w:rsidR="005E52B0">
        <w:rPr>
          <w:rFonts w:eastAsia="HG Mincho Light J"/>
          <w:b/>
        </w:rPr>
        <w:t>,</w:t>
      </w:r>
      <w:r w:rsidRPr="00856DF7">
        <w:rPr>
          <w:rFonts w:eastAsia="HG Mincho Light J"/>
        </w:rPr>
        <w:t xml:space="preserve"> stwierdzając </w:t>
      </w:r>
      <w:r w:rsidRPr="00856DF7">
        <w:rPr>
          <w:rFonts w:eastAsia="HG Mincho Light J"/>
          <w:color w:val="000000" w:themeColor="text1"/>
        </w:rPr>
        <w:t xml:space="preserve">nieprawidłowości w </w:t>
      </w:r>
      <w:r w:rsidR="004E3CF4">
        <w:rPr>
          <w:rFonts w:eastAsia="HG Mincho Light J"/>
          <w:color w:val="000000" w:themeColor="text1"/>
        </w:rPr>
        <w:t xml:space="preserve">toku </w:t>
      </w:r>
      <w:r w:rsidR="005E52B0" w:rsidRPr="004E3CF4">
        <w:rPr>
          <w:rFonts w:eastAsia="HG Mincho Light J"/>
          <w:b/>
          <w:color w:val="000000" w:themeColor="text1"/>
        </w:rPr>
        <w:t>64</w:t>
      </w:r>
      <w:r w:rsidR="004E3CF4" w:rsidRPr="004E3CF4">
        <w:rPr>
          <w:rFonts w:eastAsia="HG Mincho Light J"/>
          <w:b/>
          <w:color w:val="000000" w:themeColor="text1"/>
        </w:rPr>
        <w:t xml:space="preserve"> kontroli</w:t>
      </w:r>
      <w:r w:rsidR="005E52B0">
        <w:rPr>
          <w:rFonts w:eastAsia="HG Mincho Light J"/>
          <w:color w:val="000000" w:themeColor="text1"/>
        </w:rPr>
        <w:t xml:space="preserve">, co stanowi </w:t>
      </w:r>
      <w:r w:rsidR="00FF4479" w:rsidRPr="00856DF7">
        <w:rPr>
          <w:rFonts w:eastAsia="HG Mincho Light J"/>
          <w:color w:val="000000" w:themeColor="text1"/>
        </w:rPr>
        <w:lastRenderedPageBreak/>
        <w:t>56</w:t>
      </w:r>
      <w:r w:rsidRPr="00856DF7">
        <w:rPr>
          <w:rFonts w:eastAsia="HG Mincho Light J"/>
          <w:color w:val="000000" w:themeColor="text1"/>
        </w:rPr>
        <w:t>% kontrolowanych podmiot</w:t>
      </w:r>
      <w:r w:rsidR="005E52B0">
        <w:rPr>
          <w:rFonts w:eastAsia="HG Mincho Light J"/>
          <w:color w:val="000000" w:themeColor="text1"/>
        </w:rPr>
        <w:t xml:space="preserve">ów. </w:t>
      </w:r>
      <w:r w:rsidRPr="00856DF7">
        <w:rPr>
          <w:rFonts w:eastAsia="HG Mincho Light J"/>
          <w:color w:val="000000" w:themeColor="text1"/>
        </w:rPr>
        <w:t xml:space="preserve">Sprawdzeniem objęto </w:t>
      </w:r>
      <w:bookmarkStart w:id="1" w:name="_Hlk95481585"/>
      <w:r w:rsidR="00FF4479" w:rsidRPr="00856DF7">
        <w:rPr>
          <w:rFonts w:eastAsia="HG Mincho Light J"/>
          <w:color w:val="000000" w:themeColor="text1"/>
        </w:rPr>
        <w:t>21165</w:t>
      </w:r>
      <w:r w:rsidRPr="00856DF7">
        <w:rPr>
          <w:rFonts w:eastAsia="HG Mincho Light J"/>
          <w:color w:val="000000" w:themeColor="text1"/>
        </w:rPr>
        <w:t xml:space="preserve"> produktów stwierdzając</w:t>
      </w:r>
      <w:r w:rsidR="00B76C53" w:rsidRPr="00856DF7">
        <w:rPr>
          <w:rFonts w:eastAsia="HG Mincho Light J"/>
          <w:color w:val="000000" w:themeColor="text1"/>
        </w:rPr>
        <w:t xml:space="preserve"> </w:t>
      </w:r>
      <w:r w:rsidRPr="00856DF7">
        <w:rPr>
          <w:rFonts w:eastAsia="HG Mincho Light J"/>
          <w:color w:val="000000" w:themeColor="text1"/>
        </w:rPr>
        <w:t>nieprawidłowości</w:t>
      </w:r>
      <w:r w:rsidR="00B76C53" w:rsidRPr="00856DF7">
        <w:rPr>
          <w:rFonts w:eastAsia="HG Mincho Light J"/>
          <w:color w:val="000000" w:themeColor="text1"/>
        </w:rPr>
        <w:t xml:space="preserve"> </w:t>
      </w:r>
      <w:r w:rsidRPr="00856DF7">
        <w:rPr>
          <w:rFonts w:eastAsia="HG Mincho Light J"/>
          <w:color w:val="000000" w:themeColor="text1"/>
        </w:rPr>
        <w:t xml:space="preserve">w odniesieniu do </w:t>
      </w:r>
      <w:r w:rsidR="00FF4479" w:rsidRPr="00856DF7">
        <w:rPr>
          <w:rFonts w:eastAsia="HG Mincho Light J"/>
          <w:color w:val="000000" w:themeColor="text1"/>
        </w:rPr>
        <w:t>3039</w:t>
      </w:r>
      <w:r w:rsidRPr="00856DF7">
        <w:rPr>
          <w:rFonts w:eastAsia="HG Mincho Light J"/>
          <w:color w:val="000000" w:themeColor="text1"/>
        </w:rPr>
        <w:t xml:space="preserve"> </w:t>
      </w:r>
      <w:bookmarkEnd w:id="1"/>
      <w:r w:rsidRPr="00856DF7">
        <w:rPr>
          <w:rFonts w:eastAsia="HG Mincho Light J"/>
          <w:color w:val="000000" w:themeColor="text1"/>
        </w:rPr>
        <w:t>(</w:t>
      </w:r>
      <w:r w:rsidR="00FF4479" w:rsidRPr="00856DF7">
        <w:rPr>
          <w:rFonts w:eastAsia="HG Mincho Light J"/>
          <w:color w:val="000000" w:themeColor="text1"/>
        </w:rPr>
        <w:t>14</w:t>
      </w:r>
      <w:r w:rsidRPr="00856DF7">
        <w:rPr>
          <w:rFonts w:eastAsia="HG Mincho Light J"/>
          <w:color w:val="000000" w:themeColor="text1"/>
        </w:rPr>
        <w:t>% objętych kontrolą).</w:t>
      </w:r>
      <w:r w:rsidRPr="00856DF7">
        <w:rPr>
          <w:rFonts w:eastAsia="HG Mincho Light J"/>
          <w:noProof/>
          <w:color w:val="000000" w:themeColor="text1"/>
        </w:rPr>
        <w:t xml:space="preserve"> </w:t>
      </w:r>
    </w:p>
    <w:p w14:paraId="5A4D9C80" w14:textId="75B85951" w:rsidR="00FF4479" w:rsidRPr="00856DF7" w:rsidRDefault="005E52B0" w:rsidP="00F377D9">
      <w:pPr>
        <w:widowControl w:val="0"/>
        <w:suppressAutoHyphens/>
        <w:jc w:val="both"/>
        <w:rPr>
          <w:rFonts w:eastAsia="HG Mincho Light J"/>
        </w:rPr>
      </w:pPr>
      <w:r w:rsidRPr="00856DF7">
        <w:rPr>
          <w:rFonts w:eastAsia="HG Mincho Light J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1DE89C4" wp14:editId="23906C1C">
            <wp:simplePos x="0" y="0"/>
            <wp:positionH relativeFrom="margin">
              <wp:posOffset>3557270</wp:posOffset>
            </wp:positionH>
            <wp:positionV relativeFrom="page">
              <wp:posOffset>885825</wp:posOffset>
            </wp:positionV>
            <wp:extent cx="23622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26" y="21470"/>
                <wp:lineTo x="21426" y="0"/>
                <wp:lineTo x="0" y="0"/>
              </wp:wrapPolygon>
            </wp:wrapTight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79" w:rsidRPr="00856DF7">
        <w:rPr>
          <w:rFonts w:eastAsia="HG Mincho Light J"/>
        </w:rPr>
        <w:t xml:space="preserve">Stwierdzone nieprawidłowości dotyczyły: </w:t>
      </w:r>
    </w:p>
    <w:p w14:paraId="6E79C306" w14:textId="2C31A56D" w:rsidR="00FF4479" w:rsidRPr="00856DF7" w:rsidRDefault="00FF4479" w:rsidP="00F377D9">
      <w:pPr>
        <w:pStyle w:val="Akapitzlist"/>
        <w:numPr>
          <w:ilvl w:val="0"/>
          <w:numId w:val="15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856DF7">
        <w:rPr>
          <w:rFonts w:ascii="Times New Roman" w:hAnsi="Times New Roman"/>
          <w:sz w:val="24"/>
          <w:szCs w:val="24"/>
        </w:rPr>
        <w:t xml:space="preserve">braku jakichkolwiek informacji o cenach, </w:t>
      </w:r>
    </w:p>
    <w:p w14:paraId="503BA5EE" w14:textId="4509F4BB" w:rsidR="00FF4479" w:rsidRPr="00856DF7" w:rsidRDefault="00FF4479" w:rsidP="00F377D9">
      <w:pPr>
        <w:pStyle w:val="Akapitzlist"/>
        <w:numPr>
          <w:ilvl w:val="0"/>
          <w:numId w:val="15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856DF7">
        <w:rPr>
          <w:rFonts w:ascii="Times New Roman" w:hAnsi="Times New Roman"/>
          <w:sz w:val="24"/>
          <w:szCs w:val="24"/>
        </w:rPr>
        <w:t xml:space="preserve">braku cen jednostkowych, </w:t>
      </w:r>
    </w:p>
    <w:p w14:paraId="1B5972E8" w14:textId="24536860" w:rsidR="00FF4479" w:rsidRPr="00856DF7" w:rsidRDefault="00FF4479" w:rsidP="00F377D9">
      <w:pPr>
        <w:pStyle w:val="Akapitzlist"/>
        <w:numPr>
          <w:ilvl w:val="0"/>
          <w:numId w:val="15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856DF7">
        <w:rPr>
          <w:rFonts w:ascii="Times New Roman" w:hAnsi="Times New Roman"/>
          <w:sz w:val="24"/>
          <w:szCs w:val="24"/>
        </w:rPr>
        <w:t xml:space="preserve">niewłaściwie wyliczonych cen jednostkowych, </w:t>
      </w:r>
    </w:p>
    <w:p w14:paraId="5199E0C8" w14:textId="28C70284" w:rsidR="00FF4479" w:rsidRPr="00856DF7" w:rsidRDefault="00FF4479" w:rsidP="00F377D9">
      <w:pPr>
        <w:pStyle w:val="Akapitzlist"/>
        <w:numPr>
          <w:ilvl w:val="0"/>
          <w:numId w:val="15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856DF7">
        <w:rPr>
          <w:rFonts w:ascii="Times New Roman" w:hAnsi="Times New Roman"/>
          <w:sz w:val="24"/>
          <w:szCs w:val="24"/>
        </w:rPr>
        <w:t>eksponowania obok siebie na półkach produktów podobnych, których ceny jednostkowe podane były raz w przeliczeniu na</w:t>
      </w:r>
      <w:r w:rsidR="00911D2E" w:rsidRPr="00856DF7">
        <w:rPr>
          <w:rFonts w:ascii="Times New Roman" w:hAnsi="Times New Roman"/>
          <w:sz w:val="24"/>
          <w:szCs w:val="24"/>
        </w:rPr>
        <w:t xml:space="preserve"> </w:t>
      </w:r>
      <w:r w:rsidRPr="00856DF7">
        <w:rPr>
          <w:rFonts w:ascii="Times New Roman" w:hAnsi="Times New Roman"/>
          <w:sz w:val="24"/>
          <w:szCs w:val="24"/>
        </w:rPr>
        <w:t>100 g a raz na 1 kg lub na 100 ml i 1 l,</w:t>
      </w:r>
    </w:p>
    <w:p w14:paraId="175142D5" w14:textId="352C430F" w:rsidR="00FF4479" w:rsidRPr="00856DF7" w:rsidRDefault="00FF4479" w:rsidP="00F377D9">
      <w:pPr>
        <w:pStyle w:val="Akapitzlist"/>
        <w:numPr>
          <w:ilvl w:val="0"/>
          <w:numId w:val="15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856DF7">
        <w:rPr>
          <w:rFonts w:ascii="Times New Roman" w:hAnsi="Times New Roman"/>
          <w:sz w:val="24"/>
          <w:szCs w:val="24"/>
        </w:rPr>
        <w:t>niezgodności ceny uwidocznionej w miejscu sprzedaży z cen</w:t>
      </w:r>
      <w:r w:rsidR="006956C2" w:rsidRPr="00856DF7">
        <w:rPr>
          <w:rFonts w:ascii="Times New Roman" w:hAnsi="Times New Roman"/>
          <w:sz w:val="24"/>
          <w:szCs w:val="24"/>
        </w:rPr>
        <w:t xml:space="preserve">ami zakodowanymi </w:t>
      </w:r>
      <w:r w:rsidRPr="00856DF7">
        <w:rPr>
          <w:rFonts w:ascii="Times New Roman" w:hAnsi="Times New Roman"/>
          <w:sz w:val="24"/>
          <w:szCs w:val="24"/>
        </w:rPr>
        <w:t xml:space="preserve">w systemie kasowym, </w:t>
      </w:r>
    </w:p>
    <w:p w14:paraId="237DA79E" w14:textId="2399B74B" w:rsidR="00FF4479" w:rsidRPr="00856DF7" w:rsidRDefault="00FF4479" w:rsidP="00F377D9">
      <w:pPr>
        <w:pStyle w:val="Akapitzlist"/>
        <w:numPr>
          <w:ilvl w:val="0"/>
          <w:numId w:val="15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856DF7">
        <w:rPr>
          <w:rFonts w:ascii="Times New Roman" w:hAnsi="Times New Roman"/>
          <w:sz w:val="24"/>
          <w:szCs w:val="24"/>
        </w:rPr>
        <w:t xml:space="preserve">nierzetelnej obsługi klientów w naliczaniu należności w trakcie zakupu kontrolnego, </w:t>
      </w:r>
    </w:p>
    <w:p w14:paraId="269421C1" w14:textId="23E62CA4" w:rsidR="00FF4479" w:rsidRPr="00856DF7" w:rsidRDefault="00FF4479" w:rsidP="00F377D9">
      <w:pPr>
        <w:pStyle w:val="Akapitzlist"/>
        <w:numPr>
          <w:ilvl w:val="0"/>
          <w:numId w:val="15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856DF7">
        <w:rPr>
          <w:rFonts w:ascii="Times New Roman" w:hAnsi="Times New Roman"/>
          <w:sz w:val="24"/>
          <w:szCs w:val="24"/>
        </w:rPr>
        <w:t xml:space="preserve">podania kilku różnych cen do tego samego produktu, </w:t>
      </w:r>
    </w:p>
    <w:p w14:paraId="1BDFBC49" w14:textId="71972977" w:rsidR="00FF4479" w:rsidRPr="00856DF7" w:rsidRDefault="00FF4479" w:rsidP="00F377D9">
      <w:pPr>
        <w:pStyle w:val="Akapitzlist"/>
        <w:numPr>
          <w:ilvl w:val="0"/>
          <w:numId w:val="15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856DF7">
        <w:rPr>
          <w:rFonts w:ascii="Times New Roman" w:hAnsi="Times New Roman"/>
          <w:sz w:val="24"/>
          <w:szCs w:val="24"/>
        </w:rPr>
        <w:t>uwidocznienia cen towarów w mało widocznym, odległym miejscu.</w:t>
      </w:r>
    </w:p>
    <w:p w14:paraId="7F625D63" w14:textId="77777777" w:rsidR="000534E6" w:rsidRDefault="000534E6" w:rsidP="00F377D9">
      <w:pPr>
        <w:widowControl w:val="0"/>
        <w:suppressAutoHyphens/>
        <w:jc w:val="both"/>
        <w:rPr>
          <w:rFonts w:eastAsia="HG Mincho Light J"/>
        </w:rPr>
      </w:pPr>
    </w:p>
    <w:p w14:paraId="2746B5BB" w14:textId="567712E7" w:rsidR="00E80632" w:rsidRPr="00856DF7" w:rsidRDefault="00E80632" w:rsidP="00F377D9">
      <w:pPr>
        <w:widowControl w:val="0"/>
        <w:suppressAutoHyphens/>
        <w:jc w:val="both"/>
        <w:rPr>
          <w:rFonts w:eastAsia="HG Mincho Light J"/>
        </w:rPr>
      </w:pPr>
      <w:r w:rsidRPr="00856DF7">
        <w:rPr>
          <w:rFonts w:eastAsia="HG Mincho Light J"/>
        </w:rPr>
        <w:t>W przypadku wszystkich podmiotów,</w:t>
      </w:r>
      <w:r w:rsidR="008E4559" w:rsidRPr="00856DF7">
        <w:rPr>
          <w:rFonts w:eastAsia="HG Mincho Light J"/>
        </w:rPr>
        <w:t xml:space="preserve"> </w:t>
      </w:r>
      <w:r w:rsidR="00D360D2" w:rsidRPr="00856DF7">
        <w:rPr>
          <w:rFonts w:eastAsia="HG Mincho Light J"/>
        </w:rPr>
        <w:t xml:space="preserve">u </w:t>
      </w:r>
      <w:r w:rsidRPr="00856DF7">
        <w:rPr>
          <w:rFonts w:eastAsia="HG Mincho Light J"/>
        </w:rPr>
        <w:t>których stwierdzono nie</w:t>
      </w:r>
      <w:r w:rsidR="000534E6">
        <w:rPr>
          <w:rFonts w:eastAsia="HG Mincho Light J"/>
        </w:rPr>
        <w:t>prawidłowości dotyczące uwidaczniania cen wydano decyzje administracyjne w przedmiocie wymierzenia kar pieniężnych</w:t>
      </w:r>
      <w:r w:rsidRPr="00856DF7">
        <w:rPr>
          <w:rFonts w:eastAsia="HG Mincho Light J"/>
        </w:rPr>
        <w:t>.</w:t>
      </w:r>
    </w:p>
    <w:p w14:paraId="5EB68499" w14:textId="5F8ACEED" w:rsidR="00E80632" w:rsidRPr="00856DF7" w:rsidRDefault="00E80632" w:rsidP="00F377D9">
      <w:pPr>
        <w:widowControl w:val="0"/>
        <w:suppressAutoHyphens/>
        <w:jc w:val="both"/>
        <w:rPr>
          <w:rFonts w:eastAsia="HG Mincho Light J"/>
        </w:rPr>
      </w:pPr>
    </w:p>
    <w:p w14:paraId="1B09CE3B" w14:textId="526A91D6" w:rsidR="00E80632" w:rsidRDefault="00A0065F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7). </w:t>
      </w:r>
      <w:r w:rsidR="00E80632" w:rsidRPr="00856DF7">
        <w:rPr>
          <w:rFonts w:eastAsia="Times New Roman"/>
          <w:b/>
        </w:rPr>
        <w:t>Kontrole artykułów nieżywnościowych</w:t>
      </w:r>
    </w:p>
    <w:p w14:paraId="1D346FDD" w14:textId="499E88A9" w:rsidR="000534E6" w:rsidRPr="00856DF7" w:rsidRDefault="000534E6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14:paraId="5075433A" w14:textId="696A37A7" w:rsidR="00E80632" w:rsidRDefault="00E80632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  <w:r w:rsidRPr="00856DF7">
        <w:rPr>
          <w:rFonts w:eastAsia="Times New Roman"/>
          <w:bCs/>
        </w:rPr>
        <w:t xml:space="preserve">Przeprowadzono </w:t>
      </w:r>
      <w:r w:rsidR="00FF4479" w:rsidRPr="000534E6">
        <w:rPr>
          <w:rFonts w:eastAsia="Times New Roman"/>
          <w:b/>
          <w:bCs/>
        </w:rPr>
        <w:t>66</w:t>
      </w:r>
      <w:r w:rsidRPr="000534E6">
        <w:rPr>
          <w:rFonts w:eastAsia="Times New Roman"/>
          <w:b/>
          <w:bCs/>
        </w:rPr>
        <w:t xml:space="preserve"> kontroli</w:t>
      </w:r>
      <w:r w:rsidR="00FF4479" w:rsidRPr="00856DF7">
        <w:rPr>
          <w:rFonts w:eastAsia="Times New Roman"/>
          <w:bCs/>
        </w:rPr>
        <w:t>,</w:t>
      </w:r>
      <w:r w:rsidRPr="00856DF7">
        <w:rPr>
          <w:rFonts w:eastAsia="Times New Roman"/>
          <w:bCs/>
        </w:rPr>
        <w:t xml:space="preserve"> obejmując sprawdzeniem </w:t>
      </w:r>
      <w:r w:rsidR="00FF4479" w:rsidRPr="000534E6">
        <w:rPr>
          <w:rFonts w:eastAsia="Times New Roman"/>
          <w:b/>
          <w:bCs/>
        </w:rPr>
        <w:t>295</w:t>
      </w:r>
      <w:r w:rsidRPr="000534E6">
        <w:rPr>
          <w:rFonts w:eastAsia="Times New Roman"/>
          <w:b/>
          <w:bCs/>
        </w:rPr>
        <w:t xml:space="preserve"> produktów</w:t>
      </w:r>
      <w:r w:rsidR="00D766DD" w:rsidRPr="00856DF7">
        <w:rPr>
          <w:rFonts w:eastAsia="Times New Roman"/>
          <w:bCs/>
        </w:rPr>
        <w:t>,</w:t>
      </w:r>
      <w:r w:rsidR="0025339E" w:rsidRPr="00856DF7">
        <w:rPr>
          <w:rFonts w:eastAsia="Times New Roman"/>
          <w:bCs/>
        </w:rPr>
        <w:t xml:space="preserve"> z czego</w:t>
      </w:r>
      <w:r w:rsidR="00D766DD" w:rsidRPr="00856DF7">
        <w:rPr>
          <w:rFonts w:eastAsia="Times New Roman"/>
          <w:bCs/>
        </w:rPr>
        <w:t xml:space="preserve"> z</w:t>
      </w:r>
      <w:r w:rsidRPr="00856DF7">
        <w:rPr>
          <w:rFonts w:eastAsia="Times New Roman"/>
          <w:bCs/>
        </w:rPr>
        <w:t xml:space="preserve">akwestionowano </w:t>
      </w:r>
      <w:r w:rsidR="00FF4479" w:rsidRPr="000534E6">
        <w:rPr>
          <w:rFonts w:eastAsia="Times New Roman"/>
          <w:b/>
          <w:bCs/>
        </w:rPr>
        <w:t>57</w:t>
      </w:r>
      <w:r w:rsidR="00FF4479" w:rsidRPr="00856DF7">
        <w:rPr>
          <w:rFonts w:eastAsia="Times New Roman"/>
          <w:bCs/>
        </w:rPr>
        <w:t xml:space="preserve"> </w:t>
      </w:r>
      <w:r w:rsidRPr="00856DF7">
        <w:rPr>
          <w:rFonts w:eastAsia="Times New Roman"/>
          <w:bCs/>
        </w:rPr>
        <w:t xml:space="preserve">(tj. </w:t>
      </w:r>
      <w:r w:rsidR="00FF4479" w:rsidRPr="00856DF7">
        <w:rPr>
          <w:rFonts w:eastAsia="Times New Roman"/>
          <w:bCs/>
        </w:rPr>
        <w:t>19</w:t>
      </w:r>
      <w:r w:rsidRPr="00856DF7">
        <w:rPr>
          <w:rFonts w:eastAsia="Times New Roman"/>
          <w:bCs/>
        </w:rPr>
        <w:t>%).</w:t>
      </w:r>
    </w:p>
    <w:p w14:paraId="7FB42EF3" w14:textId="345EEEE7" w:rsidR="000534E6" w:rsidRPr="00856DF7" w:rsidRDefault="000534E6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14:paraId="60E1EF7C" w14:textId="38FFF494" w:rsidR="00E80632" w:rsidRPr="00EF0D90" w:rsidRDefault="006D7DEE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i/>
          <w:iCs/>
          <w:u w:val="single"/>
        </w:rPr>
      </w:pPr>
      <w:r w:rsidRPr="00EF0D90">
        <w:rPr>
          <w:rFonts w:eastAsia="HG Mincho Light J"/>
          <w:b/>
          <w:bCs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344FE4FD" wp14:editId="685DB1E6">
            <wp:simplePos x="0" y="0"/>
            <wp:positionH relativeFrom="margin">
              <wp:posOffset>3614420</wp:posOffset>
            </wp:positionH>
            <wp:positionV relativeFrom="page">
              <wp:posOffset>5753100</wp:posOffset>
            </wp:positionV>
            <wp:extent cx="22002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06" y="21452"/>
                <wp:lineTo x="21506" y="0"/>
                <wp:lineTo x="0" y="0"/>
              </wp:wrapPolygon>
            </wp:wrapTight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32" w:rsidRPr="00EF0D90">
        <w:rPr>
          <w:rFonts w:eastAsia="Times New Roman"/>
          <w:bCs/>
          <w:i/>
          <w:iCs/>
          <w:u w:val="single"/>
        </w:rPr>
        <w:t>Przykłady:</w:t>
      </w:r>
    </w:p>
    <w:p w14:paraId="305A7F0C" w14:textId="0F7E85D5" w:rsidR="0025339E" w:rsidRPr="00EF0D90" w:rsidRDefault="0025339E" w:rsidP="00F377D9">
      <w:pPr>
        <w:pStyle w:val="Akapitzlist"/>
        <w:widowControl w:val="0"/>
        <w:numPr>
          <w:ilvl w:val="0"/>
          <w:numId w:val="14"/>
        </w:numPr>
        <w:tabs>
          <w:tab w:val="left" w:pos="1276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F0D9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kontrola wyrobów włókienniczych </w:t>
      </w:r>
      <w:r w:rsidRPr="00EF0D90">
        <w:rPr>
          <w:rFonts w:ascii="Times New Roman" w:eastAsia="Times New Roman" w:hAnsi="Times New Roman"/>
          <w:i/>
          <w:iCs/>
          <w:sz w:val="24"/>
          <w:szCs w:val="24"/>
        </w:rPr>
        <w:t>– w jednej z placówek, w związku z informacją konsumenta dotyczącą niewłaściwego oznaczenia produktu składem surowcowym, pobrano do badań laboratoryjnych wyrób włókienniczy – marynarkę. Badania laboratoryjne wykazały, iż rzeczywisty skład procentowy był niezgodny z deklaracją producenta podaną na wszywce i etykiecie. Producent deklarował między innymi – 45% wełny, której rzeczywista zawartość wynosiła 0%.</w:t>
      </w:r>
      <w:r w:rsidR="00EF0D90" w:rsidRPr="00EF0D9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F0D90">
        <w:rPr>
          <w:rFonts w:ascii="Times New Roman" w:eastAsia="Times New Roman" w:hAnsi="Times New Roman"/>
          <w:i/>
          <w:iCs/>
          <w:sz w:val="24"/>
          <w:szCs w:val="24"/>
        </w:rPr>
        <w:t>W związku z powyższym do producenta kwestionowanej marynarki wystosowano wystąpienie pokontrolne w celu wyjaśnienia przyczyn stwierdzonej nieprawidłowości. Ponadto w związku z podejrzeniem zbiorowego naruszenia interesów konsumentów - o ustaleniach z kontroli poinformowano UOKiK. W stosunku do kontrolowanego przedsiębiorcy zostanie wydana decyzja administracyjna w przedmiocie poniesienia kosztów badań laboratoryjnych.</w:t>
      </w:r>
    </w:p>
    <w:p w14:paraId="0E7FFFE3" w14:textId="6274C5B7" w:rsidR="0025339E" w:rsidRPr="00EF0D90" w:rsidRDefault="0025339E" w:rsidP="00F377D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F0D9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kontrola wyrobów zawierających lotne związki organiczne </w:t>
      </w:r>
      <w:r w:rsidRPr="00EF0D90">
        <w:rPr>
          <w:rFonts w:ascii="Times New Roman" w:eastAsia="Times New Roman" w:hAnsi="Times New Roman"/>
          <w:i/>
          <w:iCs/>
          <w:sz w:val="24"/>
          <w:szCs w:val="24"/>
        </w:rPr>
        <w:t>– w jednym ze sklepów budowlanych zakwestionowano:</w:t>
      </w:r>
    </w:p>
    <w:p w14:paraId="5F886295" w14:textId="2B7B9562" w:rsidR="0025339E" w:rsidRPr="00EF0D90" w:rsidRDefault="0025339E" w:rsidP="00F377D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34" w:hanging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F0D90">
        <w:rPr>
          <w:rFonts w:ascii="Times New Roman" w:eastAsia="Times New Roman" w:hAnsi="Times New Roman"/>
          <w:i/>
          <w:iCs/>
          <w:sz w:val="24"/>
          <w:szCs w:val="24"/>
        </w:rPr>
        <w:t xml:space="preserve">1 partię z uwagi na </w:t>
      </w:r>
      <w:r w:rsidRPr="00EF0D90">
        <w:rPr>
          <w:rFonts w:ascii="Times New Roman" w:hAnsi="Times New Roman"/>
          <w:i/>
          <w:iCs/>
          <w:sz w:val="24"/>
          <w:szCs w:val="24"/>
        </w:rPr>
        <w:t xml:space="preserve">podanie błędnej podkategorii oraz niezgodnej z </w:t>
      </w:r>
      <w:r w:rsidRPr="00EF0D90">
        <w:rPr>
          <w:rFonts w:ascii="Times New Roman" w:hAnsi="Times New Roman"/>
          <w:i/>
          <w:iCs/>
          <w:sz w:val="24"/>
          <w:szCs w:val="24"/>
        </w:rPr>
        <w:lastRenderedPageBreak/>
        <w:t xml:space="preserve">wymaganiami informacji o maksymalnej zawartości LZO, w g/l, w produkcie gotowym do użytku. </w:t>
      </w:r>
      <w:r w:rsidRPr="00EF0D90">
        <w:rPr>
          <w:rFonts w:ascii="Times New Roman" w:eastAsia="Times New Roman" w:hAnsi="Times New Roman"/>
          <w:i/>
          <w:iCs/>
          <w:sz w:val="24"/>
          <w:szCs w:val="24"/>
        </w:rPr>
        <w:t>W związku z przeprowadzonym postępowaniem wyjaśniającym, przedstawiciela kontrolowanego przedsiębiorcy pouczono na zasadzie art. 41 KW. Ponadto do producenta kwestionowanego produktu wystosowano wystąpienie pokontrolne w celu wyjaśnienia przyczyn stwierdzonej nieprawidłowości oraz powiadomienia o działaniach podjętych celem jej wyeliminowania,</w:t>
      </w:r>
    </w:p>
    <w:p w14:paraId="14CE2F53" w14:textId="77777777" w:rsidR="005716DE" w:rsidRPr="005716DE" w:rsidRDefault="0025339E" w:rsidP="005E52B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/>
          <w:i/>
          <w:iCs/>
        </w:rPr>
      </w:pPr>
      <w:r w:rsidRPr="005716DE">
        <w:rPr>
          <w:rFonts w:ascii="Times New Roman" w:eastAsia="Times New Roman" w:hAnsi="Times New Roman"/>
          <w:i/>
          <w:iCs/>
          <w:sz w:val="24"/>
          <w:szCs w:val="24"/>
        </w:rPr>
        <w:t xml:space="preserve">1 partię wyrobu z uwagi na </w:t>
      </w:r>
      <w:r w:rsidRPr="005716DE">
        <w:rPr>
          <w:rFonts w:ascii="Times New Roman" w:hAnsi="Times New Roman"/>
          <w:i/>
          <w:iCs/>
          <w:sz w:val="24"/>
          <w:szCs w:val="24"/>
        </w:rPr>
        <w:t xml:space="preserve">rozbieżności w zakresie informowania o maksymalnej zawartości lotnych związków organicznych w produktach gotowych do użytku, pomiędzy informacjami podanymi na etykiecie zamieszczonej na opakowaniu, a informacjami wskazanymi w karcie technicznej. Do producenta kwestionowanego produktu wystosowano wystąpienie z wnioskiem o wyjaśnienie rozbieżności i podjęcie działań naprawczych. </w:t>
      </w:r>
    </w:p>
    <w:p w14:paraId="1308E0A4" w14:textId="52B8C0ED" w:rsidR="005E52B0" w:rsidRPr="005716DE" w:rsidRDefault="005E52B0" w:rsidP="005716DE">
      <w:pPr>
        <w:widowControl w:val="0"/>
        <w:autoSpaceDE w:val="0"/>
        <w:autoSpaceDN w:val="0"/>
        <w:adjustRightInd w:val="0"/>
        <w:ind w:left="352"/>
        <w:jc w:val="both"/>
        <w:rPr>
          <w:rFonts w:eastAsia="Times New Roman"/>
          <w:i/>
          <w:iCs/>
        </w:rPr>
      </w:pPr>
      <w:r w:rsidRPr="005716DE">
        <w:rPr>
          <w:rFonts w:eastAsia="Times New Roman"/>
          <w:i/>
          <w:iCs/>
        </w:rPr>
        <w:t>Kwestionowane wyroby zostały natychmiast wycofane z obrotu handlowego.</w:t>
      </w:r>
    </w:p>
    <w:p w14:paraId="252CA572" w14:textId="490D867D" w:rsidR="00467E14" w:rsidRPr="00856DF7" w:rsidRDefault="00467E14" w:rsidP="00F377D9">
      <w:pPr>
        <w:jc w:val="both"/>
        <w:rPr>
          <w:rFonts w:eastAsia="Times New Roman"/>
        </w:rPr>
      </w:pPr>
    </w:p>
    <w:p w14:paraId="44EE129A" w14:textId="2FE5A3E0" w:rsidR="00E80632" w:rsidRDefault="00A0065F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8). </w:t>
      </w:r>
      <w:r w:rsidR="00E80632" w:rsidRPr="00856DF7">
        <w:rPr>
          <w:rFonts w:eastAsia="Times New Roman"/>
          <w:b/>
          <w:bCs/>
        </w:rPr>
        <w:t>Kontrola usług</w:t>
      </w:r>
    </w:p>
    <w:p w14:paraId="3E7A0CEC" w14:textId="4660B105" w:rsidR="000534E6" w:rsidRPr="00856DF7" w:rsidRDefault="000534E6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14:paraId="2EA68B05" w14:textId="60C10820" w:rsidR="00E80632" w:rsidRDefault="005E52B0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56DF7">
        <w:rPr>
          <w:noProof/>
        </w:rPr>
        <w:drawing>
          <wp:anchor distT="0" distB="0" distL="114300" distR="114300" simplePos="0" relativeHeight="251662336" behindDoc="1" locked="0" layoutInCell="1" allowOverlap="1" wp14:anchorId="2B420479" wp14:editId="5D712DCF">
            <wp:simplePos x="0" y="0"/>
            <wp:positionH relativeFrom="margin">
              <wp:posOffset>3604895</wp:posOffset>
            </wp:positionH>
            <wp:positionV relativeFrom="page">
              <wp:posOffset>4819015</wp:posOffset>
            </wp:positionV>
            <wp:extent cx="22479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17" y="21526"/>
                <wp:lineTo x="21417" y="0"/>
                <wp:lineTo x="0" y="0"/>
              </wp:wrapPolygon>
            </wp:wrapTight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996" w:rsidRPr="00856DF7">
        <w:rPr>
          <w:rFonts w:eastAsia="Times New Roman"/>
        </w:rPr>
        <w:t xml:space="preserve">Przeprowadzono </w:t>
      </w:r>
      <w:r w:rsidR="00571996" w:rsidRPr="000534E6">
        <w:rPr>
          <w:rFonts w:eastAsia="Times New Roman"/>
          <w:b/>
        </w:rPr>
        <w:t>68 kontroli</w:t>
      </w:r>
      <w:r w:rsidR="00571996" w:rsidRPr="00856DF7">
        <w:rPr>
          <w:rFonts w:eastAsia="Times New Roman"/>
        </w:rPr>
        <w:t xml:space="preserve">, między innymi </w:t>
      </w:r>
      <w:r w:rsidR="00C359A2">
        <w:rPr>
          <w:rFonts w:eastAsia="Times New Roman"/>
        </w:rPr>
        <w:t xml:space="preserve">podmiotów </w:t>
      </w:r>
      <w:r w:rsidR="00571996" w:rsidRPr="00856DF7">
        <w:rPr>
          <w:rFonts w:eastAsia="Times New Roman"/>
        </w:rPr>
        <w:t>świadczących usługi: turystyczne, hotelarskie, motoryzacyjne, gastronomiczne, fryzjerskie, kosmetyczne, krawieckie, salach zabaw, pralniach, parkingach, myjniach samochodowych, wypożyczania sprzętu rekreacyjnego</w:t>
      </w:r>
      <w:r w:rsidR="00C359A2">
        <w:rPr>
          <w:rFonts w:eastAsia="Times New Roman"/>
        </w:rPr>
        <w:t xml:space="preserve"> oraz w </w:t>
      </w:r>
      <w:r w:rsidR="00571996" w:rsidRPr="00856DF7">
        <w:rPr>
          <w:rFonts w:eastAsia="Times New Roman"/>
        </w:rPr>
        <w:t xml:space="preserve">punkcie zbierania złomu. </w:t>
      </w:r>
      <w:r w:rsidR="00DE1A4F" w:rsidRPr="00856DF7">
        <w:rPr>
          <w:rFonts w:eastAsia="Times New Roman"/>
        </w:rPr>
        <w:t xml:space="preserve">Nieprawidłowości stwierdzono w trakcie </w:t>
      </w:r>
      <w:r w:rsidR="00DE1A4F" w:rsidRPr="000534E6">
        <w:rPr>
          <w:rFonts w:eastAsia="Times New Roman"/>
          <w:b/>
        </w:rPr>
        <w:t>29 kontroli</w:t>
      </w:r>
      <w:r w:rsidR="000534E6">
        <w:rPr>
          <w:rFonts w:eastAsia="Times New Roman"/>
          <w:b/>
        </w:rPr>
        <w:t xml:space="preserve"> </w:t>
      </w:r>
      <w:r w:rsidR="000534E6" w:rsidRPr="000534E6">
        <w:rPr>
          <w:rFonts w:eastAsia="Times New Roman"/>
        </w:rPr>
        <w:t>(42%)</w:t>
      </w:r>
      <w:r w:rsidR="00DE1A4F" w:rsidRPr="000534E6">
        <w:rPr>
          <w:rFonts w:eastAsia="Times New Roman"/>
        </w:rPr>
        <w:t>.</w:t>
      </w:r>
      <w:r w:rsidR="00DE1A4F" w:rsidRPr="00856DF7">
        <w:rPr>
          <w:rFonts w:eastAsia="Times New Roman"/>
        </w:rPr>
        <w:t xml:space="preserve"> </w:t>
      </w:r>
      <w:r w:rsidR="00571996" w:rsidRPr="00856DF7">
        <w:rPr>
          <w:rFonts w:eastAsia="Times New Roman"/>
        </w:rPr>
        <w:t>Sprawdzeniem objęto 3315 produktów, stwierdzając nieprawidłowości w odniesieniu do 337 (tj. 10%).</w:t>
      </w:r>
    </w:p>
    <w:p w14:paraId="67E33BF1" w14:textId="2B010246" w:rsidR="000534E6" w:rsidRPr="00856DF7" w:rsidRDefault="000534E6" w:rsidP="00F377D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753071B1" w14:textId="1DF26413" w:rsidR="00DE1A4F" w:rsidRPr="00C359A2" w:rsidRDefault="00DE1A4F" w:rsidP="00F377D9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/>
          <w:bCs/>
          <w:i/>
          <w:iCs/>
          <w:u w:val="single"/>
        </w:rPr>
      </w:pPr>
      <w:r w:rsidRPr="00C359A2">
        <w:rPr>
          <w:rFonts w:eastAsia="Times New Roman"/>
          <w:bCs/>
          <w:i/>
          <w:iCs/>
          <w:u w:val="single"/>
        </w:rPr>
        <w:t>Przykłady:</w:t>
      </w:r>
    </w:p>
    <w:p w14:paraId="6B685286" w14:textId="33902613" w:rsidR="00DE1A4F" w:rsidRPr="00C359A2" w:rsidRDefault="00DE1A4F" w:rsidP="00F377D9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A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kontrola legalności i rzetelności świadczenia usług gastronomicznych </w:t>
      </w:r>
      <w:r w:rsidRPr="00C359A2">
        <w:rPr>
          <w:rFonts w:ascii="Times New Roman" w:eastAsia="Times New Roman" w:hAnsi="Times New Roman"/>
          <w:bCs/>
          <w:i/>
          <w:iCs/>
          <w:sz w:val="24"/>
          <w:szCs w:val="24"/>
        </w:rPr>
        <w:br/>
        <w:t xml:space="preserve">w miejscowościach turystycznych, na dworcach kolejowych i autobusowych oraz na stacjach paliw i głównych szlakach komunikacyjnych </w:t>
      </w:r>
      <w:r w:rsidRPr="00C359A2">
        <w:rPr>
          <w:rFonts w:ascii="Times New Roman" w:eastAsia="Times New Roman" w:hAnsi="Times New Roman"/>
          <w:i/>
          <w:iCs/>
          <w:sz w:val="24"/>
          <w:szCs w:val="24"/>
        </w:rPr>
        <w:t xml:space="preserve">– przedmiotem kontroli </w:t>
      </w:r>
      <w:r w:rsidRPr="00C359A2">
        <w:rPr>
          <w:rFonts w:ascii="Times New Roman" w:eastAsia="Times New Roman" w:hAnsi="Times New Roman"/>
          <w:i/>
          <w:iCs/>
          <w:sz w:val="24"/>
          <w:szCs w:val="24"/>
        </w:rPr>
        <w:br/>
        <w:t>w jednej z placówek było między innymi sprawdzenie rzetelności obsługi klientów obejmujące prawidłowość ustalania wagi netto, wyliczania należności, legalizację urządzeń pomiarowych oraz zgodność zakupionego towaru z zamówieniem.</w:t>
      </w:r>
    </w:p>
    <w:p w14:paraId="1C32C230" w14:textId="4CFE049D" w:rsidR="00DE1A4F" w:rsidRPr="00C359A2" w:rsidRDefault="004C2ACF" w:rsidP="00F377D9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C359A2">
        <w:rPr>
          <w:rFonts w:ascii="Times New Roman" w:eastAsia="Times New Roman" w:hAnsi="Times New Roman"/>
          <w:i/>
          <w:iCs/>
          <w:sz w:val="24"/>
          <w:szCs w:val="24"/>
        </w:rPr>
        <w:t>Ustalono, że:</w:t>
      </w:r>
    </w:p>
    <w:p w14:paraId="6250674E" w14:textId="42D5383D" w:rsidR="00DE1A4F" w:rsidRPr="00C359A2" w:rsidRDefault="00DE1A4F" w:rsidP="00F377D9">
      <w:pPr>
        <w:pStyle w:val="Akapitzlist"/>
        <w:widowControl w:val="0"/>
        <w:numPr>
          <w:ilvl w:val="0"/>
          <w:numId w:val="1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A2">
        <w:rPr>
          <w:rFonts w:ascii="Times New Roman" w:eastAsia="Times New Roman" w:hAnsi="Times New Roman"/>
          <w:i/>
          <w:iCs/>
          <w:sz w:val="24"/>
          <w:szCs w:val="24"/>
        </w:rPr>
        <w:t xml:space="preserve">zakupiona sałatka nie była zgodna z zamówieniem, gdyż posiadała składniki, które nie były deklarowane w karcie menu, </w:t>
      </w:r>
    </w:p>
    <w:p w14:paraId="4197FA32" w14:textId="719FDF3C" w:rsidR="00DE1A4F" w:rsidRPr="00C359A2" w:rsidRDefault="00DE1A4F" w:rsidP="00F377D9">
      <w:pPr>
        <w:pStyle w:val="Akapitzlist"/>
        <w:widowControl w:val="0"/>
        <w:numPr>
          <w:ilvl w:val="0"/>
          <w:numId w:val="1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A2">
        <w:rPr>
          <w:rFonts w:ascii="Times New Roman" w:eastAsia="Times New Roman" w:hAnsi="Times New Roman"/>
          <w:i/>
          <w:iCs/>
          <w:sz w:val="24"/>
          <w:szCs w:val="24"/>
        </w:rPr>
        <w:t>przy 19 produktach nie podano określenia ilości potrawy lub wyrobu,</w:t>
      </w:r>
    </w:p>
    <w:p w14:paraId="7E66285A" w14:textId="3F37415D" w:rsidR="00DE1A4F" w:rsidRPr="00C359A2" w:rsidRDefault="00DE1A4F" w:rsidP="00F377D9">
      <w:pPr>
        <w:pStyle w:val="Akapitzlist"/>
        <w:widowControl w:val="0"/>
        <w:numPr>
          <w:ilvl w:val="0"/>
          <w:numId w:val="1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59A2">
        <w:rPr>
          <w:rFonts w:ascii="Times New Roman" w:eastAsia="Times New Roman" w:hAnsi="Times New Roman"/>
          <w:i/>
          <w:iCs/>
          <w:sz w:val="24"/>
          <w:szCs w:val="24"/>
        </w:rPr>
        <w:t>waga stosowana do ważenia potraw posiadała nieaktualną cechę legalizacji.</w:t>
      </w:r>
    </w:p>
    <w:p w14:paraId="3026FCE2" w14:textId="53D5B263" w:rsidR="00DE1A4F" w:rsidRPr="00C359A2" w:rsidRDefault="00DE1A4F" w:rsidP="00F377D9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</w:rPr>
      </w:pPr>
      <w:r w:rsidRPr="00C359A2">
        <w:rPr>
          <w:rFonts w:eastAsia="Times New Roman"/>
          <w:i/>
          <w:iCs/>
        </w:rPr>
        <w:t xml:space="preserve">W trakcie kontroli przedsiębiorca uzupełnił dane brakujące w karcie menu. </w:t>
      </w:r>
    </w:p>
    <w:p w14:paraId="62C02B10" w14:textId="51C42D8A" w:rsidR="00DE1A4F" w:rsidRPr="00C359A2" w:rsidRDefault="00DE1A4F" w:rsidP="00F377D9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jc w:val="both"/>
        <w:rPr>
          <w:rFonts w:eastAsia="Times New Roman"/>
          <w:i/>
          <w:iCs/>
        </w:rPr>
      </w:pPr>
      <w:r w:rsidRPr="00C359A2">
        <w:rPr>
          <w:rFonts w:eastAsia="Times New Roman"/>
          <w:i/>
          <w:iCs/>
        </w:rPr>
        <w:t xml:space="preserve">W następstwie dokonanych ustaleń wycofano z obrotu kwestionowaną wagę do czasu jej zalegalizowania, nałożono mandat karny oraz wymierzono karę administracyjną. </w:t>
      </w:r>
    </w:p>
    <w:p w14:paraId="33707E66" w14:textId="785867A0" w:rsidR="00DE1A4F" w:rsidRPr="00C359A2" w:rsidRDefault="00DE1A4F" w:rsidP="00F377D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359A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kontrola rzetelności i legalności przedsiębiorców świadczących usługi rekreacyjne </w:t>
      </w:r>
      <w:r w:rsidRPr="00C359A2">
        <w:rPr>
          <w:rFonts w:ascii="Times New Roman" w:eastAsia="Times New Roman" w:hAnsi="Times New Roman"/>
          <w:i/>
          <w:iCs/>
          <w:sz w:val="24"/>
          <w:szCs w:val="24"/>
        </w:rPr>
        <w:t xml:space="preserve">– w jednej z placówek – centrum zabaw dla dzieci stwierdzono w głównej konstrukcji zabawowej oraz w sali z trampolinami: uszkodzoną siatkę osłonową, ostre końcówki opasek uciskowych, niekompletne elementy osłaniające rury, brak zabezpieczenia końcówki rękojeści armatek pneumatycznych oraz niezabezpieczone gniazdo elektryczne. </w:t>
      </w:r>
    </w:p>
    <w:p w14:paraId="35C7342A" w14:textId="7AED624F" w:rsidR="00E80632" w:rsidRPr="00C359A2" w:rsidRDefault="00DE1A4F" w:rsidP="00F377D9">
      <w:pPr>
        <w:pStyle w:val="Akapitzlist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359A2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Na etapie kontroli przedsiębiorca podjął dobrowolne działania naprawcze. Nieprawidłowości zostały wyeliminowane. </w:t>
      </w:r>
    </w:p>
    <w:p w14:paraId="3628F145" w14:textId="44EB46B5" w:rsidR="00E80632" w:rsidRPr="00856DF7" w:rsidRDefault="00E80632" w:rsidP="00F377D9">
      <w:pPr>
        <w:jc w:val="both"/>
      </w:pPr>
    </w:p>
    <w:p w14:paraId="53CC4F81" w14:textId="5A3106A7" w:rsidR="0051208F" w:rsidRDefault="00A0065F" w:rsidP="00F377D9">
      <w:pPr>
        <w:jc w:val="both"/>
        <w:rPr>
          <w:b/>
          <w:bCs/>
        </w:rPr>
      </w:pPr>
      <w:r>
        <w:rPr>
          <w:b/>
          <w:bCs/>
        </w:rPr>
        <w:t xml:space="preserve">9). </w:t>
      </w:r>
      <w:r w:rsidR="0051208F" w:rsidRPr="00856DF7">
        <w:rPr>
          <w:b/>
          <w:bCs/>
        </w:rPr>
        <w:t>Badania laboratoryjne</w:t>
      </w:r>
    </w:p>
    <w:p w14:paraId="137F7F92" w14:textId="4D425D55" w:rsidR="000534E6" w:rsidRPr="00856DF7" w:rsidRDefault="000534E6" w:rsidP="00F377D9">
      <w:pPr>
        <w:jc w:val="both"/>
        <w:rPr>
          <w:b/>
          <w:bCs/>
        </w:rPr>
      </w:pPr>
    </w:p>
    <w:p w14:paraId="0122A763" w14:textId="4F0B099E" w:rsidR="0050639F" w:rsidRPr="00856DF7" w:rsidRDefault="009F3027" w:rsidP="00A100B3">
      <w:pPr>
        <w:spacing w:after="120"/>
        <w:jc w:val="both"/>
        <w:rPr>
          <w:noProof/>
        </w:rPr>
      </w:pPr>
      <w:bookmarkStart w:id="2" w:name="_Hlk95730579"/>
      <w:r w:rsidRPr="00856DF7">
        <w:t xml:space="preserve">W 2021 r. do badań laboratoryjnych przekazano ogółem </w:t>
      </w:r>
      <w:r w:rsidRPr="004E3CF4">
        <w:rPr>
          <w:b/>
        </w:rPr>
        <w:t>62 próbki produktów</w:t>
      </w:r>
      <w:r w:rsidRPr="00856DF7">
        <w:t xml:space="preserve"> (w t</w:t>
      </w:r>
      <w:r w:rsidR="004E3CF4">
        <w:t>ym 42 w obszarze nadzoru rynku), co stanowi wzrost o 63 %</w:t>
      </w:r>
      <w:r w:rsidR="007C292A">
        <w:t xml:space="preserve"> w stosunku do 2020 roku, kiedy to pobrano</w:t>
      </w:r>
      <w:r w:rsidRPr="00856DF7">
        <w:t xml:space="preserve"> </w:t>
      </w:r>
      <w:r w:rsidR="007C292A">
        <w:t xml:space="preserve">do badań 38 próbek. </w:t>
      </w:r>
      <w:r w:rsidRPr="00856DF7">
        <w:t>W wyniku przeprowadzonych badań laboratoryjnych zakwestionowano 19 produktów (16 próbek z obszaru nadzoru rynku)</w:t>
      </w:r>
      <w:r w:rsidR="004E3CF4">
        <w:t>, wobec czego należy odnotować</w:t>
      </w:r>
      <w:r w:rsidR="007C292A">
        <w:t xml:space="preserve"> wyższy o</w:t>
      </w:r>
      <w:r w:rsidR="004E3CF4">
        <w:t xml:space="preserve"> 73%</w:t>
      </w:r>
      <w:r w:rsidR="007C292A">
        <w:t xml:space="preserve"> wskaźnik efektywności ujawnionych uchybień w stosunku do 2020 roku</w:t>
      </w:r>
      <w:r w:rsidRPr="00856DF7">
        <w:t>.</w:t>
      </w:r>
      <w:r w:rsidR="001B0087" w:rsidRPr="00856DF7">
        <w:rPr>
          <w:noProof/>
        </w:rPr>
        <w:t xml:space="preserve"> </w:t>
      </w:r>
    </w:p>
    <w:p w14:paraId="42BB7E59" w14:textId="05A6E5B6" w:rsidR="0050639F" w:rsidRPr="00856DF7" w:rsidRDefault="0050639F" w:rsidP="00A100B3">
      <w:pPr>
        <w:spacing w:after="120"/>
        <w:jc w:val="both"/>
      </w:pPr>
      <w:r w:rsidRPr="00856DF7">
        <w:t xml:space="preserve">Wartość środków przeznaczonych na badania laboratoryjne wyniosła </w:t>
      </w:r>
      <w:r w:rsidRPr="004E3CF4">
        <w:rPr>
          <w:b/>
        </w:rPr>
        <w:t>33529,66 zł</w:t>
      </w:r>
      <w:r w:rsidRPr="00856DF7">
        <w:t xml:space="preserve"> (z czego 25998,98 zł to wartość środków przeznaczonych na badania próbek z obszaru nadzoru rynku).</w:t>
      </w:r>
    </w:p>
    <w:p w14:paraId="131BEB9F" w14:textId="335AC8C6" w:rsidR="0050639F" w:rsidRPr="008646D6" w:rsidRDefault="0050639F" w:rsidP="00A100B3">
      <w:pPr>
        <w:spacing w:after="120"/>
        <w:jc w:val="both"/>
        <w:rPr>
          <w:color w:val="FF0000"/>
        </w:rPr>
      </w:pPr>
      <w:r w:rsidRPr="00856DF7">
        <w:t xml:space="preserve"> Dla porównania – w roku 2020 na badania laboratoryjne przeznaczono 10335,20 zł (z czego 5089,25 zł na badania próbek z obszaru nadzoru rynku).</w:t>
      </w:r>
      <w:r w:rsidR="008646D6">
        <w:t xml:space="preserve"> </w:t>
      </w:r>
    </w:p>
    <w:p w14:paraId="781DE804" w14:textId="3CD52860" w:rsidR="001B0087" w:rsidRPr="00856DF7" w:rsidRDefault="006D7DEE" w:rsidP="00F377D9">
      <w:pPr>
        <w:jc w:val="both"/>
      </w:pPr>
      <w:r w:rsidRPr="00856DF7">
        <w:rPr>
          <w:noProof/>
        </w:rPr>
        <w:drawing>
          <wp:anchor distT="0" distB="0" distL="114300" distR="114300" simplePos="0" relativeHeight="251658240" behindDoc="0" locked="0" layoutInCell="1" allowOverlap="1" wp14:anchorId="46ADE29A" wp14:editId="5C602B56">
            <wp:simplePos x="0" y="0"/>
            <wp:positionH relativeFrom="column">
              <wp:posOffset>13970</wp:posOffset>
            </wp:positionH>
            <wp:positionV relativeFrom="paragraph">
              <wp:posOffset>59690</wp:posOffset>
            </wp:positionV>
            <wp:extent cx="3114675" cy="2914650"/>
            <wp:effectExtent l="57150" t="57150" r="47625" b="38100"/>
            <wp:wrapSquare wrapText="bothSides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 w:rsidR="00A100B3">
        <w:rPr>
          <w:noProof/>
        </w:rPr>
        <w:drawing>
          <wp:inline distT="0" distB="0" distL="0" distR="0" wp14:anchorId="2FBA3E64" wp14:editId="2A9A7467">
            <wp:extent cx="2581275" cy="2971800"/>
            <wp:effectExtent l="0" t="0" r="952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377C9C">
        <w:br w:type="textWrapping" w:clear="all"/>
      </w:r>
    </w:p>
    <w:bookmarkEnd w:id="2"/>
    <w:p w14:paraId="5BBCBEE1" w14:textId="3F8852BB" w:rsidR="00E80632" w:rsidRDefault="00A0065F" w:rsidP="00F377D9">
      <w:pPr>
        <w:pStyle w:val="Tekstpodstawowy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10). </w:t>
      </w:r>
      <w:r w:rsidR="00E80632" w:rsidRPr="00856DF7">
        <w:rPr>
          <w:b/>
          <w:color w:val="323E4F" w:themeColor="text2" w:themeShade="BF"/>
        </w:rPr>
        <w:t xml:space="preserve">Ochrona konsumenta </w:t>
      </w:r>
    </w:p>
    <w:p w14:paraId="209A9D29" w14:textId="0DF311FE" w:rsidR="00C359A2" w:rsidRPr="00856DF7" w:rsidRDefault="00C359A2" w:rsidP="00F377D9">
      <w:pPr>
        <w:pStyle w:val="Tekstpodstawowy"/>
        <w:rPr>
          <w:b/>
          <w:color w:val="323E4F" w:themeColor="text2" w:themeShade="BF"/>
        </w:rPr>
      </w:pPr>
    </w:p>
    <w:p w14:paraId="06E5509D" w14:textId="2F422EA1" w:rsidR="00E80632" w:rsidRPr="000534E6" w:rsidRDefault="00E80632" w:rsidP="00F377D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065F">
        <w:rPr>
          <w:rFonts w:ascii="Times New Roman" w:hAnsi="Times New Roman"/>
          <w:b/>
          <w:bCs/>
          <w:sz w:val="24"/>
          <w:szCs w:val="24"/>
        </w:rPr>
        <w:t>Pozasądowe rozwiązywanie sporów konsumenckich</w:t>
      </w:r>
    </w:p>
    <w:p w14:paraId="6455733E" w14:textId="6A467B3B" w:rsidR="000534E6" w:rsidRPr="00A0065F" w:rsidRDefault="000534E6" w:rsidP="000534E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D02F0CE" w14:textId="59F74ED1" w:rsidR="0009724A" w:rsidRPr="00856DF7" w:rsidRDefault="00377C9C" w:rsidP="006D7DEE">
      <w:pPr>
        <w:spacing w:after="120"/>
        <w:jc w:val="both"/>
      </w:pPr>
      <w:r w:rsidRPr="00856DF7">
        <w:rPr>
          <w:b/>
          <w:noProof/>
        </w:rPr>
        <w:drawing>
          <wp:anchor distT="0" distB="0" distL="114300" distR="114300" simplePos="0" relativeHeight="251653120" behindDoc="1" locked="0" layoutInCell="1" allowOverlap="1" wp14:anchorId="3BF3D3C0" wp14:editId="6163001E">
            <wp:simplePos x="0" y="0"/>
            <wp:positionH relativeFrom="margin">
              <wp:posOffset>3509645</wp:posOffset>
            </wp:positionH>
            <wp:positionV relativeFrom="margin">
              <wp:posOffset>6520815</wp:posOffset>
            </wp:positionV>
            <wp:extent cx="2172335" cy="2489835"/>
            <wp:effectExtent l="0" t="0" r="18415" b="5715"/>
            <wp:wrapTight wrapText="bothSides">
              <wp:wrapPolygon edited="0">
                <wp:start x="0" y="0"/>
                <wp:lineTo x="0" y="21484"/>
                <wp:lineTo x="21594" y="21484"/>
                <wp:lineTo x="21594" y="0"/>
                <wp:lineTo x="0" y="0"/>
              </wp:wrapPolygon>
            </wp:wrapTight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286" w:rsidRPr="00856DF7">
        <w:t>W 202</w:t>
      </w:r>
      <w:r w:rsidR="00AD5A33" w:rsidRPr="00856DF7">
        <w:t>1</w:t>
      </w:r>
      <w:r w:rsidR="005D7286" w:rsidRPr="00856DF7">
        <w:t xml:space="preserve"> </w:t>
      </w:r>
      <w:r w:rsidR="009A5BAF" w:rsidRPr="00856DF7">
        <w:t xml:space="preserve">r. </w:t>
      </w:r>
      <w:r w:rsidR="00091A98" w:rsidRPr="00856DF7">
        <w:t xml:space="preserve">wpłynęły 224 wnioski o przeprowadzenie postępowania </w:t>
      </w:r>
      <w:r w:rsidR="005D7286" w:rsidRPr="00856DF7">
        <w:t>w sprawach pozasądowego rozwiązywania sporów konsumenckich</w:t>
      </w:r>
      <w:r w:rsidR="00091A98" w:rsidRPr="00856DF7">
        <w:t xml:space="preserve">. </w:t>
      </w:r>
      <w:r w:rsidR="0009724A" w:rsidRPr="00856DF7">
        <w:t>W wyniku przeprowadzonych postępowań – 140 spraw zakończono pozytywnie dla konsumenta</w:t>
      </w:r>
      <w:r w:rsidR="000534E6">
        <w:t xml:space="preserve"> (62,5%)</w:t>
      </w:r>
      <w:r w:rsidR="0009724A" w:rsidRPr="00856DF7">
        <w:t xml:space="preserve">, </w:t>
      </w:r>
      <w:r w:rsidR="00381379" w:rsidRPr="00856DF7">
        <w:t>55 zakończyło się negatywnie dla konsumenta.</w:t>
      </w:r>
    </w:p>
    <w:p w14:paraId="6AFB6816" w14:textId="7F9781FC" w:rsidR="00C53234" w:rsidRPr="00856DF7" w:rsidRDefault="00091A98" w:rsidP="006D7DEE">
      <w:pPr>
        <w:spacing w:after="120"/>
        <w:jc w:val="both"/>
      </w:pPr>
      <w:r w:rsidRPr="00856DF7">
        <w:t>Wnioski dotyczyły głównie:</w:t>
      </w:r>
      <w:r w:rsidR="00F1617B" w:rsidRPr="00856DF7">
        <w:t xml:space="preserve"> </w:t>
      </w:r>
      <w:r w:rsidRPr="00856DF7">
        <w:t>problemów z realizacją ustawowego prawa odstąpienia od</w:t>
      </w:r>
      <w:r w:rsidR="00F1617B" w:rsidRPr="00856DF7">
        <w:t xml:space="preserve"> </w:t>
      </w:r>
      <w:r w:rsidRPr="00856DF7">
        <w:t>umowy</w:t>
      </w:r>
      <w:bookmarkStart w:id="3" w:name="_Hlk94609701"/>
      <w:r w:rsidR="00191131" w:rsidRPr="00856DF7">
        <w:t xml:space="preserve">, </w:t>
      </w:r>
      <w:r w:rsidRPr="00856DF7">
        <w:t>niewłaściw</w:t>
      </w:r>
      <w:r w:rsidR="00F1617B" w:rsidRPr="00856DF7">
        <w:t>ej</w:t>
      </w:r>
      <w:r w:rsidR="00191131" w:rsidRPr="00856DF7">
        <w:t xml:space="preserve"> </w:t>
      </w:r>
      <w:r w:rsidRPr="00856DF7">
        <w:t>jakoś</w:t>
      </w:r>
      <w:r w:rsidR="00F1617B" w:rsidRPr="00856DF7">
        <w:t>ci</w:t>
      </w:r>
      <w:r w:rsidRPr="00856DF7">
        <w:t xml:space="preserve"> produktó</w:t>
      </w:r>
      <w:r w:rsidR="00F1617B" w:rsidRPr="00856DF7">
        <w:t>w</w:t>
      </w:r>
      <w:r w:rsidR="00191131" w:rsidRPr="00856DF7">
        <w:t xml:space="preserve">, </w:t>
      </w:r>
      <w:r w:rsidRPr="00856DF7">
        <w:t>um</w:t>
      </w:r>
      <w:r w:rsidR="00F1617B" w:rsidRPr="00856DF7">
        <w:t>ów</w:t>
      </w:r>
      <w:r w:rsidRPr="00856DF7">
        <w:t xml:space="preserve"> zawart</w:t>
      </w:r>
      <w:r w:rsidR="00F1617B" w:rsidRPr="00856DF7">
        <w:t>ych</w:t>
      </w:r>
      <w:r w:rsidRPr="00856DF7">
        <w:t xml:space="preserve"> pod wpływem błędu podstępnie wywołanego przez druga stronę</w:t>
      </w:r>
      <w:r w:rsidR="00F1617B" w:rsidRPr="00856DF7">
        <w:t>, nienależytego wykonania zobowiązań</w:t>
      </w:r>
      <w:bookmarkEnd w:id="3"/>
      <w:r w:rsidRPr="00856DF7">
        <w:t xml:space="preserve"> </w:t>
      </w:r>
    </w:p>
    <w:p w14:paraId="4D4F259C" w14:textId="3F18B93C" w:rsidR="005D7286" w:rsidRPr="00856DF7" w:rsidRDefault="005D7286" w:rsidP="006D7DEE">
      <w:pPr>
        <w:spacing w:after="120"/>
        <w:jc w:val="both"/>
      </w:pPr>
      <w:r w:rsidRPr="00856DF7">
        <w:t xml:space="preserve">Ponadto udzielono </w:t>
      </w:r>
      <w:r w:rsidR="00F1617B" w:rsidRPr="00856DF7">
        <w:t>6676</w:t>
      </w:r>
      <w:r w:rsidRPr="00856DF7">
        <w:t xml:space="preserve"> porad, w tym: </w:t>
      </w:r>
      <w:r w:rsidR="00F1617B" w:rsidRPr="00856DF7">
        <w:t>5826</w:t>
      </w:r>
      <w:r w:rsidRPr="00856DF7">
        <w:t xml:space="preserve"> </w:t>
      </w:r>
      <w:r w:rsidRPr="00856DF7">
        <w:lastRenderedPageBreak/>
        <w:t>konsumentom i 85</w:t>
      </w:r>
      <w:r w:rsidR="00F1617B" w:rsidRPr="00856DF7">
        <w:t>0</w:t>
      </w:r>
      <w:r w:rsidRPr="00856DF7">
        <w:t xml:space="preserve"> przedsiębiorcom.</w:t>
      </w:r>
    </w:p>
    <w:p w14:paraId="1153B173" w14:textId="7D677695" w:rsidR="00E80632" w:rsidRDefault="00E80632" w:rsidP="00F377D9">
      <w:pPr>
        <w:jc w:val="both"/>
        <w:rPr>
          <w:b/>
        </w:rPr>
      </w:pPr>
    </w:p>
    <w:p w14:paraId="2743A888" w14:textId="27D3E060" w:rsidR="000534E6" w:rsidRDefault="006D7DEE" w:rsidP="00F377D9">
      <w:pPr>
        <w:jc w:val="both"/>
        <w:rPr>
          <w:b/>
        </w:rPr>
      </w:pPr>
      <w:r w:rsidRPr="00856DF7">
        <w:rPr>
          <w:noProof/>
        </w:rPr>
        <w:drawing>
          <wp:anchor distT="0" distB="0" distL="114300" distR="114300" simplePos="0" relativeHeight="251657216" behindDoc="1" locked="0" layoutInCell="1" allowOverlap="1" wp14:anchorId="295E9D2B" wp14:editId="611C1C70">
            <wp:simplePos x="0" y="0"/>
            <wp:positionH relativeFrom="margin">
              <wp:posOffset>3195320</wp:posOffset>
            </wp:positionH>
            <wp:positionV relativeFrom="page">
              <wp:posOffset>1237615</wp:posOffset>
            </wp:positionV>
            <wp:extent cx="26860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47" y="21506"/>
                <wp:lineTo x="21447" y="0"/>
                <wp:lineTo x="0" y="0"/>
              </wp:wrapPolygon>
            </wp:wrapTight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65F">
        <w:rPr>
          <w:b/>
        </w:rPr>
        <w:t xml:space="preserve">b) </w:t>
      </w:r>
      <w:r w:rsidR="00E80632" w:rsidRPr="00856DF7">
        <w:rPr>
          <w:b/>
        </w:rPr>
        <w:t>Stały Sąd Polubowny</w:t>
      </w:r>
    </w:p>
    <w:p w14:paraId="5B462A9A" w14:textId="5B59C453" w:rsidR="00E80632" w:rsidRPr="00856DF7" w:rsidRDefault="00E80632" w:rsidP="00F377D9">
      <w:pPr>
        <w:jc w:val="both"/>
        <w:rPr>
          <w:b/>
        </w:rPr>
      </w:pPr>
      <w:r w:rsidRPr="00856DF7">
        <w:rPr>
          <w:b/>
        </w:rPr>
        <w:t xml:space="preserve"> </w:t>
      </w:r>
    </w:p>
    <w:p w14:paraId="21D5E88A" w14:textId="5D712A9C" w:rsidR="00191131" w:rsidRPr="00856DF7" w:rsidRDefault="00446FBD" w:rsidP="00F377D9">
      <w:pPr>
        <w:jc w:val="both"/>
        <w:rPr>
          <w:bCs/>
        </w:rPr>
      </w:pPr>
      <w:r w:rsidRPr="00856DF7">
        <w:rPr>
          <w:bCs/>
        </w:rPr>
        <w:t xml:space="preserve">W okresie sprawozdawczym do Stałego Sądu Polubownego wpłynęło </w:t>
      </w:r>
      <w:r w:rsidR="00F1617B" w:rsidRPr="00856DF7">
        <w:rPr>
          <w:bCs/>
        </w:rPr>
        <w:t>13</w:t>
      </w:r>
      <w:r w:rsidRPr="00856DF7">
        <w:rPr>
          <w:bCs/>
        </w:rPr>
        <w:t xml:space="preserve"> wniosk</w:t>
      </w:r>
      <w:r w:rsidR="00F1617B" w:rsidRPr="00856DF7">
        <w:rPr>
          <w:bCs/>
        </w:rPr>
        <w:t>ów</w:t>
      </w:r>
      <w:r w:rsidRPr="00856DF7">
        <w:rPr>
          <w:bCs/>
        </w:rPr>
        <w:t xml:space="preserve"> o rozpatrzenie spraw, o łącznej wartości roszczeń </w:t>
      </w:r>
      <w:r w:rsidR="00191131" w:rsidRPr="00856DF7">
        <w:rPr>
          <w:bCs/>
        </w:rPr>
        <w:t>22967</w:t>
      </w:r>
      <w:r w:rsidRPr="00856DF7">
        <w:rPr>
          <w:bCs/>
        </w:rPr>
        <w:t xml:space="preserve"> zł.</w:t>
      </w:r>
      <w:r w:rsidR="00191131" w:rsidRPr="00856DF7">
        <w:rPr>
          <w:bCs/>
        </w:rPr>
        <w:t xml:space="preserve"> </w:t>
      </w:r>
    </w:p>
    <w:p w14:paraId="389A50D2" w14:textId="1C04D6C6" w:rsidR="00E80632" w:rsidRDefault="0009724A" w:rsidP="006D7DEE">
      <w:pPr>
        <w:autoSpaceDE w:val="0"/>
        <w:spacing w:after="240"/>
        <w:jc w:val="both"/>
        <w:rPr>
          <w:bCs/>
        </w:rPr>
      </w:pPr>
      <w:r w:rsidRPr="00856DF7">
        <w:rPr>
          <w:bCs/>
        </w:rPr>
        <w:t>W 2 sprawach strony zawarły ugodę w postepowaniu wstępnym, również w 2 - zawarto ugodę w postepowaniu sądowym. Sąd wydał 2 wyroki zasadzające – w 1 sprawie z bieżącego okresu sprawozdawczego i w 1 z poprzedniego okresu sprawozdawczego (zakończonej w 2021 r.). Pozostałe wnioski zwrócono. Jedna sprawa pozostaje w toku.</w:t>
      </w:r>
    </w:p>
    <w:p w14:paraId="26A9A3FD" w14:textId="0D2368B9" w:rsidR="00F377D9" w:rsidRDefault="00F377D9" w:rsidP="00F377D9">
      <w:pPr>
        <w:autoSpaceDE w:val="0"/>
        <w:jc w:val="both"/>
        <w:rPr>
          <w:bCs/>
        </w:rPr>
      </w:pPr>
    </w:p>
    <w:p w14:paraId="196E78BF" w14:textId="09B41B6E" w:rsidR="00E80632" w:rsidRDefault="00E80632" w:rsidP="00F377D9">
      <w:pPr>
        <w:pStyle w:val="Akapitzlist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23E4F" w:themeColor="text2" w:themeShade="BF"/>
          <w:sz w:val="28"/>
          <w:szCs w:val="28"/>
          <w:lang w:eastAsia="hi-IN" w:bidi="hi-IN"/>
        </w:rPr>
      </w:pPr>
      <w:r w:rsidRPr="00F377D9">
        <w:rPr>
          <w:rFonts w:ascii="Times New Roman" w:eastAsia="Times New Roman" w:hAnsi="Times New Roman"/>
          <w:b/>
          <w:color w:val="323E4F" w:themeColor="text2" w:themeShade="BF"/>
          <w:sz w:val="28"/>
          <w:szCs w:val="28"/>
          <w:lang w:eastAsia="hi-IN" w:bidi="hi-IN"/>
        </w:rPr>
        <w:t>Kierunki działania w 202</w:t>
      </w:r>
      <w:r w:rsidR="00150AEB" w:rsidRPr="00F377D9">
        <w:rPr>
          <w:rFonts w:ascii="Times New Roman" w:eastAsia="Times New Roman" w:hAnsi="Times New Roman"/>
          <w:b/>
          <w:color w:val="323E4F" w:themeColor="text2" w:themeShade="BF"/>
          <w:sz w:val="28"/>
          <w:szCs w:val="28"/>
          <w:lang w:eastAsia="hi-IN" w:bidi="hi-IN"/>
        </w:rPr>
        <w:t>2</w:t>
      </w:r>
      <w:r w:rsidRPr="00F377D9">
        <w:rPr>
          <w:rFonts w:ascii="Times New Roman" w:eastAsia="Times New Roman" w:hAnsi="Times New Roman"/>
          <w:b/>
          <w:color w:val="323E4F" w:themeColor="text2" w:themeShade="BF"/>
          <w:sz w:val="28"/>
          <w:szCs w:val="28"/>
          <w:lang w:eastAsia="hi-IN" w:bidi="hi-IN"/>
        </w:rPr>
        <w:t xml:space="preserve"> r.</w:t>
      </w:r>
    </w:p>
    <w:p w14:paraId="11BDBEB0" w14:textId="0B86A5A1" w:rsidR="00F377D9" w:rsidRPr="00F377D9" w:rsidRDefault="00F377D9" w:rsidP="00F377D9">
      <w:pPr>
        <w:pStyle w:val="Akapitzlist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323E4F" w:themeColor="text2" w:themeShade="BF"/>
          <w:sz w:val="28"/>
          <w:szCs w:val="28"/>
          <w:lang w:eastAsia="hi-IN" w:bidi="hi-IN"/>
        </w:rPr>
      </w:pPr>
    </w:p>
    <w:p w14:paraId="2DD8821C" w14:textId="4880CC51" w:rsidR="00E80632" w:rsidRDefault="00E80632" w:rsidP="00F377D9">
      <w:r w:rsidRPr="00C359A2">
        <w:t>Priorytetem działania Inspektoratu w 202</w:t>
      </w:r>
      <w:r w:rsidR="00150AEB" w:rsidRPr="00C359A2">
        <w:t>2</w:t>
      </w:r>
      <w:r w:rsidRPr="00C359A2">
        <w:t xml:space="preserve"> r. będzie realizacja:</w:t>
      </w:r>
    </w:p>
    <w:p w14:paraId="664F8B53" w14:textId="77777777" w:rsidR="00A23B1B" w:rsidRPr="00C359A2" w:rsidRDefault="00A23B1B" w:rsidP="00F377D9"/>
    <w:p w14:paraId="660428F0" w14:textId="0B77E960" w:rsidR="00E80632" w:rsidRPr="00C359A2" w:rsidRDefault="00E80632" w:rsidP="00F377D9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9A2">
        <w:rPr>
          <w:rFonts w:ascii="Times New Roman" w:hAnsi="Times New Roman"/>
          <w:sz w:val="24"/>
          <w:szCs w:val="24"/>
        </w:rPr>
        <w:t>zadań kontrolnych wskazanych przez Prezesa Urzędu Ochrony Konkurencji i Konsumentów w Rocznym Planie Kont</w:t>
      </w:r>
      <w:r w:rsidR="00911D2E" w:rsidRPr="00C359A2">
        <w:rPr>
          <w:rFonts w:ascii="Times New Roman" w:hAnsi="Times New Roman"/>
          <w:sz w:val="24"/>
          <w:szCs w:val="24"/>
        </w:rPr>
        <w:t>roli Inspekcji Handlowej na 2022</w:t>
      </w:r>
      <w:r w:rsidRPr="00C359A2">
        <w:rPr>
          <w:rFonts w:ascii="Times New Roman" w:hAnsi="Times New Roman"/>
          <w:sz w:val="24"/>
          <w:szCs w:val="24"/>
        </w:rPr>
        <w:t xml:space="preserve"> r.,</w:t>
      </w:r>
    </w:p>
    <w:p w14:paraId="182265D3" w14:textId="77777777" w:rsidR="00235246" w:rsidRDefault="00E80632" w:rsidP="00F377D9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9A2">
        <w:rPr>
          <w:rFonts w:ascii="Times New Roman" w:hAnsi="Times New Roman"/>
          <w:sz w:val="24"/>
          <w:szCs w:val="24"/>
        </w:rPr>
        <w:t>kontroli własnych obszarów wynikających z analizy ryzyka sporządzonego na podstawie wyników kontroli przeprowadzonych w 202</w:t>
      </w:r>
      <w:r w:rsidR="00911D2E" w:rsidRPr="00C359A2">
        <w:rPr>
          <w:rFonts w:ascii="Times New Roman" w:hAnsi="Times New Roman"/>
          <w:sz w:val="24"/>
          <w:szCs w:val="24"/>
        </w:rPr>
        <w:t>2</w:t>
      </w:r>
      <w:r w:rsidR="007C292A">
        <w:rPr>
          <w:rFonts w:ascii="Times New Roman" w:hAnsi="Times New Roman"/>
          <w:sz w:val="24"/>
          <w:szCs w:val="24"/>
        </w:rPr>
        <w:t xml:space="preserve"> r.</w:t>
      </w:r>
    </w:p>
    <w:p w14:paraId="48A364F1" w14:textId="1DDCD53D" w:rsidR="00E80632" w:rsidRDefault="007C292A" w:rsidP="00235246">
      <w:pPr>
        <w:pStyle w:val="Akapitzlist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utrzymując wysoki poziom liczby próbek produktów pobieranych do badań</w:t>
      </w:r>
      <w:r w:rsidR="00235246">
        <w:rPr>
          <w:rFonts w:ascii="Times New Roman" w:hAnsi="Times New Roman"/>
          <w:sz w:val="24"/>
          <w:szCs w:val="24"/>
        </w:rPr>
        <w:t xml:space="preserve"> laboratoryjnych.</w:t>
      </w:r>
    </w:p>
    <w:p w14:paraId="3F643EA7" w14:textId="0E2ABBAC" w:rsidR="00E80632" w:rsidRPr="00C359A2" w:rsidRDefault="00E80632" w:rsidP="00F377D9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9A2">
        <w:rPr>
          <w:rFonts w:ascii="Times New Roman" w:hAnsi="Times New Roman"/>
          <w:sz w:val="24"/>
          <w:szCs w:val="24"/>
        </w:rPr>
        <w:t xml:space="preserve">zadań wynikających z ustawy o systemie monitorowania i kontroli jakości paliw, </w:t>
      </w:r>
    </w:p>
    <w:p w14:paraId="03C462FD" w14:textId="77777777" w:rsidR="00E80632" w:rsidRPr="00C359A2" w:rsidRDefault="00E80632" w:rsidP="00F377D9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9A2">
        <w:rPr>
          <w:rFonts w:ascii="Times New Roman" w:hAnsi="Times New Roman"/>
          <w:sz w:val="24"/>
          <w:szCs w:val="24"/>
        </w:rPr>
        <w:t>promocji zasad pozasądowego rozwiązywanie sporów konsumenckich,</w:t>
      </w:r>
    </w:p>
    <w:p w14:paraId="0FD626BB" w14:textId="68AD1A1F" w:rsidR="00F377D9" w:rsidRDefault="00A23B1B" w:rsidP="00FE2F70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poradnictwa konsumenckiego</w:t>
      </w:r>
    </w:p>
    <w:p w14:paraId="14A0D415" w14:textId="304AE4E1" w:rsidR="00A23B1B" w:rsidRDefault="00A23B1B" w:rsidP="00FE2F70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działań monitorujących zjawiska zachodzące na rynku w zakresie kształtowania się cen paliw i podstawowych artykułów spożywczych oraz przekazywanie ich wyników do Prezesa UOKiK</w:t>
      </w:r>
      <w:r w:rsidR="00A91653">
        <w:rPr>
          <w:rFonts w:ascii="Times New Roman" w:hAnsi="Times New Roman"/>
          <w:sz w:val="24"/>
          <w:szCs w:val="24"/>
        </w:rPr>
        <w:t xml:space="preserve"> </w:t>
      </w:r>
    </w:p>
    <w:p w14:paraId="443B62BB" w14:textId="77777777" w:rsidR="00A91653" w:rsidRDefault="00A91653" w:rsidP="00A91653">
      <w:pPr>
        <w:contextualSpacing/>
        <w:jc w:val="center"/>
      </w:pPr>
    </w:p>
    <w:p w14:paraId="08F7ADD5" w14:textId="12A49AA8" w:rsidR="00A91653" w:rsidRPr="00835C8A" w:rsidRDefault="00A91653" w:rsidP="00A91653">
      <w:pPr>
        <w:pStyle w:val="Akapitzlist"/>
        <w:numPr>
          <w:ilvl w:val="0"/>
          <w:numId w:val="4"/>
        </w:numPr>
        <w:contextualSpacing/>
        <w:rPr>
          <w:rFonts w:ascii="Times New Roman" w:hAnsi="Times New Roman"/>
          <w:b/>
          <w:sz w:val="28"/>
          <w:szCs w:val="28"/>
        </w:rPr>
      </w:pPr>
      <w:r w:rsidRPr="00835C8A">
        <w:rPr>
          <w:rFonts w:ascii="Times New Roman" w:hAnsi="Times New Roman"/>
          <w:b/>
          <w:sz w:val="28"/>
          <w:szCs w:val="28"/>
        </w:rPr>
        <w:t>Podsumowanie</w:t>
      </w:r>
    </w:p>
    <w:p w14:paraId="0A1B718A" w14:textId="0EA7BE55" w:rsidR="00A91653" w:rsidRPr="00A91653" w:rsidRDefault="00A91653" w:rsidP="0060537B">
      <w:pPr>
        <w:ind w:firstLine="360"/>
        <w:contextualSpacing/>
        <w:jc w:val="both"/>
      </w:pPr>
      <w:r w:rsidRPr="00A91653">
        <w:t>Zaprezentowane</w:t>
      </w:r>
      <w:r>
        <w:t xml:space="preserve"> wyżej okoliczności dają podstawę do stwierdzenia, że Wojewódzki Inspektorat Inspekcji Handlowej w Białymstoku – pomimo obiektywnych trudności wynikających z istnienia pandemii – z powodzeniem realizował</w:t>
      </w:r>
      <w:r w:rsidR="005970E7">
        <w:t xml:space="preserve"> zadania wynik</w:t>
      </w:r>
      <w:r w:rsidR="00546986">
        <w:t>ające z rocznego planu pracy kontrolnej oraz liczne dodatkowe działania</w:t>
      </w:r>
      <w:r w:rsidR="004A2C02">
        <w:t>. Liczba przeprowadzonych kontroli pozostała na poziomie z 2020 roku, natomiast wyniki zarówno kontroli w poszczególnych obsz</w:t>
      </w:r>
      <w:r w:rsidR="00C35370">
        <w:t>arach, jak i działań poza kontrolnych,</w:t>
      </w:r>
      <w:r w:rsidR="004A2C02">
        <w:t xml:space="preserve"> wskazują na znaczący wzrost</w:t>
      </w:r>
      <w:r w:rsidR="00C35370">
        <w:t xml:space="preserve"> ich efektywności w odniesieniu do poprzedniego roku</w:t>
      </w:r>
      <w:r w:rsidR="004A2C02">
        <w:t>.</w:t>
      </w:r>
      <w:r w:rsidR="0060537B">
        <w:t xml:space="preserve"> Podkreślenia wymaga również znaczna skala dodatkowych </w:t>
      </w:r>
      <w:r w:rsidR="00941BDA">
        <w:t>form aktywności mających znaczenie w rozwiązywaniu m in. problemów wynikających z bieżących, negatywnych zjawisk gospodarczych.</w:t>
      </w:r>
    </w:p>
    <w:p w14:paraId="59D25D44" w14:textId="0382E2E3" w:rsidR="00F377D9" w:rsidRDefault="00F377D9" w:rsidP="00F377D9">
      <w:pPr>
        <w:contextualSpacing/>
        <w:jc w:val="both"/>
      </w:pPr>
    </w:p>
    <w:p w14:paraId="3E7AC0EC" w14:textId="77777777" w:rsidR="00F377D9" w:rsidRPr="00F377D9" w:rsidRDefault="00F377D9" w:rsidP="00F377D9">
      <w:pPr>
        <w:ind w:firstLine="4253"/>
        <w:jc w:val="center"/>
        <w:rPr>
          <w:rFonts w:eastAsia="Times New Roman"/>
          <w:sz w:val="20"/>
          <w:szCs w:val="20"/>
        </w:rPr>
      </w:pPr>
      <w:bookmarkStart w:id="4" w:name="_Hlk46401941"/>
      <w:r w:rsidRPr="00F377D9">
        <w:rPr>
          <w:rFonts w:eastAsia="Times New Roman"/>
          <w:sz w:val="20"/>
          <w:szCs w:val="20"/>
        </w:rPr>
        <w:t>PODLASKI WOJEWÓDZKI INSPEKTOR</w:t>
      </w:r>
    </w:p>
    <w:p w14:paraId="0647E3CC" w14:textId="77777777" w:rsidR="00F377D9" w:rsidRPr="00F377D9" w:rsidRDefault="00F377D9" w:rsidP="00F377D9">
      <w:pPr>
        <w:ind w:firstLine="4253"/>
        <w:jc w:val="center"/>
        <w:rPr>
          <w:rFonts w:eastAsia="Times New Roman"/>
          <w:sz w:val="20"/>
          <w:szCs w:val="20"/>
        </w:rPr>
      </w:pPr>
      <w:r w:rsidRPr="00F377D9">
        <w:rPr>
          <w:rFonts w:eastAsia="Times New Roman"/>
          <w:sz w:val="20"/>
          <w:szCs w:val="20"/>
        </w:rPr>
        <w:t>INSPEKCJI HANDLOWEJ</w:t>
      </w:r>
    </w:p>
    <w:p w14:paraId="0EFAB638" w14:textId="77777777" w:rsidR="00F377D9" w:rsidRPr="00F377D9" w:rsidRDefault="00F377D9" w:rsidP="00F377D9">
      <w:pPr>
        <w:ind w:firstLine="4253"/>
        <w:jc w:val="center"/>
        <w:rPr>
          <w:rFonts w:eastAsia="Times New Roman"/>
        </w:rPr>
      </w:pPr>
    </w:p>
    <w:p w14:paraId="432D4328" w14:textId="77777777" w:rsidR="00F377D9" w:rsidRPr="00F377D9" w:rsidRDefault="00F377D9" w:rsidP="00F377D9">
      <w:pPr>
        <w:ind w:firstLine="4253"/>
        <w:jc w:val="center"/>
        <w:rPr>
          <w:rFonts w:eastAsia="Times New Roman"/>
          <w:i/>
        </w:rPr>
      </w:pPr>
      <w:r w:rsidRPr="00F377D9">
        <w:rPr>
          <w:rFonts w:eastAsia="Times New Roman"/>
          <w:i/>
        </w:rPr>
        <w:t>Bogdan Janusz Dobrzyński</w:t>
      </w:r>
      <w:bookmarkEnd w:id="4"/>
    </w:p>
    <w:sectPr w:rsidR="00F377D9" w:rsidRPr="00F377D9" w:rsidSect="00726D0C">
      <w:footerReference w:type="even" r:id="rId22"/>
      <w:footerReference w:type="default" r:id="rId23"/>
      <w:pgSz w:w="11906" w:h="16838" w:code="9"/>
      <w:pgMar w:top="1418" w:right="1276" w:bottom="102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987E" w14:textId="77777777" w:rsidR="007D000B" w:rsidRDefault="007D000B">
      <w:r>
        <w:separator/>
      </w:r>
    </w:p>
  </w:endnote>
  <w:endnote w:type="continuationSeparator" w:id="0">
    <w:p w14:paraId="63A2D258" w14:textId="77777777" w:rsidR="007D000B" w:rsidRDefault="007D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B9D2" w14:textId="77777777" w:rsidR="001C6CFD" w:rsidRPr="000A6068" w:rsidRDefault="009357A4" w:rsidP="005D5F77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end"/>
    </w:r>
  </w:p>
  <w:p w14:paraId="18E99092" w14:textId="77777777" w:rsidR="001C6CFD" w:rsidRPr="000A6068" w:rsidRDefault="007D000B" w:rsidP="008E162A">
    <w:pPr>
      <w:pStyle w:val="Stopk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103" w14:textId="77777777" w:rsidR="001C6CFD" w:rsidRPr="000A6068" w:rsidRDefault="009357A4" w:rsidP="005D5F77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separate"/>
    </w:r>
    <w:r w:rsidR="00300B53">
      <w:rPr>
        <w:rStyle w:val="Numerstrony"/>
        <w:noProof/>
        <w:sz w:val="23"/>
        <w:szCs w:val="23"/>
      </w:rPr>
      <w:t>2</w:t>
    </w:r>
    <w:r w:rsidRPr="000A6068">
      <w:rPr>
        <w:rStyle w:val="Numerstrony"/>
        <w:sz w:val="23"/>
        <w:szCs w:val="23"/>
      </w:rPr>
      <w:fldChar w:fldCharType="end"/>
    </w:r>
  </w:p>
  <w:p w14:paraId="501120CB" w14:textId="77777777" w:rsidR="001C6CFD" w:rsidRPr="000A6068" w:rsidRDefault="007D000B" w:rsidP="008E162A">
    <w:pPr>
      <w:pStyle w:val="Stopka"/>
      <w:ind w:right="360" w:firstLine="360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1FF6" w14:textId="77777777" w:rsidR="007D000B" w:rsidRDefault="007D000B">
      <w:r>
        <w:separator/>
      </w:r>
    </w:p>
  </w:footnote>
  <w:footnote w:type="continuationSeparator" w:id="0">
    <w:p w14:paraId="389EB224" w14:textId="77777777" w:rsidR="007D000B" w:rsidRDefault="007D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78F"/>
    <w:multiLevelType w:val="hybridMultilevel"/>
    <w:tmpl w:val="8B9C4DB6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" w15:restartNumberingAfterBreak="0">
    <w:nsid w:val="0E9F0E30"/>
    <w:multiLevelType w:val="hybridMultilevel"/>
    <w:tmpl w:val="5A5E6548"/>
    <w:lvl w:ilvl="0" w:tplc="039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4C80"/>
    <w:multiLevelType w:val="hybridMultilevel"/>
    <w:tmpl w:val="032C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67CC"/>
    <w:multiLevelType w:val="hybridMultilevel"/>
    <w:tmpl w:val="7F766E48"/>
    <w:lvl w:ilvl="0" w:tplc="F1609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25E2"/>
    <w:multiLevelType w:val="hybridMultilevel"/>
    <w:tmpl w:val="9B24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2168"/>
    <w:multiLevelType w:val="hybridMultilevel"/>
    <w:tmpl w:val="91F4EA9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E4435"/>
    <w:multiLevelType w:val="hybridMultilevel"/>
    <w:tmpl w:val="7D128EB6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B1B17"/>
    <w:multiLevelType w:val="hybridMultilevel"/>
    <w:tmpl w:val="FD5A0238"/>
    <w:lvl w:ilvl="0" w:tplc="DA4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185D"/>
    <w:multiLevelType w:val="hybridMultilevel"/>
    <w:tmpl w:val="1208F952"/>
    <w:lvl w:ilvl="0" w:tplc="3572CC7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972B53"/>
    <w:multiLevelType w:val="hybridMultilevel"/>
    <w:tmpl w:val="D33E86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51BCE"/>
    <w:multiLevelType w:val="hybridMultilevel"/>
    <w:tmpl w:val="B6125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7289"/>
    <w:multiLevelType w:val="hybridMultilevel"/>
    <w:tmpl w:val="7242D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C959AD"/>
    <w:multiLevelType w:val="hybridMultilevel"/>
    <w:tmpl w:val="8A8A77D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EF1CB708">
      <w:numFmt w:val="bullet"/>
      <w:lvlText w:val="•"/>
      <w:lvlJc w:val="left"/>
      <w:pPr>
        <w:ind w:left="1785" w:hanging="708"/>
      </w:pPr>
      <w:rPr>
        <w:rFonts w:ascii="Times New Roman" w:eastAsia="HG Mincho Light J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03E4469"/>
    <w:multiLevelType w:val="hybridMultilevel"/>
    <w:tmpl w:val="17742BA4"/>
    <w:lvl w:ilvl="0" w:tplc="48D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487"/>
    <w:multiLevelType w:val="hybridMultilevel"/>
    <w:tmpl w:val="7666B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3DEF"/>
    <w:multiLevelType w:val="hybridMultilevel"/>
    <w:tmpl w:val="1C88E7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37427C"/>
    <w:multiLevelType w:val="hybridMultilevel"/>
    <w:tmpl w:val="A1EE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4B46"/>
    <w:multiLevelType w:val="hybridMultilevel"/>
    <w:tmpl w:val="48262EB4"/>
    <w:lvl w:ilvl="0" w:tplc="08920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3B7E78"/>
    <w:multiLevelType w:val="hybridMultilevel"/>
    <w:tmpl w:val="F6B2B378"/>
    <w:lvl w:ilvl="0" w:tplc="8D78CB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9353FA"/>
    <w:multiLevelType w:val="hybridMultilevel"/>
    <w:tmpl w:val="FE5CC320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0D58DA"/>
    <w:multiLevelType w:val="hybridMultilevel"/>
    <w:tmpl w:val="D780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2D3D"/>
    <w:multiLevelType w:val="hybridMultilevel"/>
    <w:tmpl w:val="557E1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71E2F"/>
    <w:multiLevelType w:val="hybridMultilevel"/>
    <w:tmpl w:val="7B46883E"/>
    <w:lvl w:ilvl="0" w:tplc="DA4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26256"/>
    <w:multiLevelType w:val="hybridMultilevel"/>
    <w:tmpl w:val="8ACC39F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16"/>
  </w:num>
  <w:num w:numId="7">
    <w:abstractNumId w:val="12"/>
  </w:num>
  <w:num w:numId="8">
    <w:abstractNumId w:val="21"/>
  </w:num>
  <w:num w:numId="9">
    <w:abstractNumId w:val="0"/>
  </w:num>
  <w:num w:numId="10">
    <w:abstractNumId w:val="23"/>
  </w:num>
  <w:num w:numId="11">
    <w:abstractNumId w:val="14"/>
  </w:num>
  <w:num w:numId="12">
    <w:abstractNumId w:val="20"/>
  </w:num>
  <w:num w:numId="13">
    <w:abstractNumId w:val="15"/>
  </w:num>
  <w:num w:numId="14">
    <w:abstractNumId w:val="1"/>
  </w:num>
  <w:num w:numId="15">
    <w:abstractNumId w:val="3"/>
  </w:num>
  <w:num w:numId="16">
    <w:abstractNumId w:val="5"/>
  </w:num>
  <w:num w:numId="17">
    <w:abstractNumId w:val="6"/>
  </w:num>
  <w:num w:numId="18">
    <w:abstractNumId w:val="19"/>
  </w:num>
  <w:num w:numId="19">
    <w:abstractNumId w:val="22"/>
  </w:num>
  <w:num w:numId="20">
    <w:abstractNumId w:val="7"/>
  </w:num>
  <w:num w:numId="21">
    <w:abstractNumId w:val="2"/>
  </w:num>
  <w:num w:numId="22">
    <w:abstractNumId w:val="1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32"/>
    <w:rsid w:val="00020969"/>
    <w:rsid w:val="000352D4"/>
    <w:rsid w:val="000455A1"/>
    <w:rsid w:val="000503D0"/>
    <w:rsid w:val="000534E6"/>
    <w:rsid w:val="00083A2C"/>
    <w:rsid w:val="00091A98"/>
    <w:rsid w:val="0009724A"/>
    <w:rsid w:val="000A1E01"/>
    <w:rsid w:val="000B5E28"/>
    <w:rsid w:val="000F2E05"/>
    <w:rsid w:val="000F6E38"/>
    <w:rsid w:val="0010341C"/>
    <w:rsid w:val="00113DCE"/>
    <w:rsid w:val="00120189"/>
    <w:rsid w:val="00120370"/>
    <w:rsid w:val="00121354"/>
    <w:rsid w:val="00147DA2"/>
    <w:rsid w:val="00150AEB"/>
    <w:rsid w:val="00172C84"/>
    <w:rsid w:val="0018082B"/>
    <w:rsid w:val="00191131"/>
    <w:rsid w:val="001A563C"/>
    <w:rsid w:val="001B0087"/>
    <w:rsid w:val="001B3015"/>
    <w:rsid w:val="001C2F1D"/>
    <w:rsid w:val="001D077D"/>
    <w:rsid w:val="001E2135"/>
    <w:rsid w:val="00216841"/>
    <w:rsid w:val="00224E0C"/>
    <w:rsid w:val="00227935"/>
    <w:rsid w:val="00235246"/>
    <w:rsid w:val="00237058"/>
    <w:rsid w:val="0025113B"/>
    <w:rsid w:val="00251219"/>
    <w:rsid w:val="0025339E"/>
    <w:rsid w:val="002720C9"/>
    <w:rsid w:val="002B66DF"/>
    <w:rsid w:val="002C00CC"/>
    <w:rsid w:val="002D5913"/>
    <w:rsid w:val="00300B53"/>
    <w:rsid w:val="00311197"/>
    <w:rsid w:val="00314E80"/>
    <w:rsid w:val="00321E9D"/>
    <w:rsid w:val="003547BC"/>
    <w:rsid w:val="00377C9C"/>
    <w:rsid w:val="00381379"/>
    <w:rsid w:val="00384E3C"/>
    <w:rsid w:val="00386386"/>
    <w:rsid w:val="00386CD6"/>
    <w:rsid w:val="003A30D6"/>
    <w:rsid w:val="00416ADE"/>
    <w:rsid w:val="00427CB3"/>
    <w:rsid w:val="00430C60"/>
    <w:rsid w:val="00446E6B"/>
    <w:rsid w:val="00446FBD"/>
    <w:rsid w:val="0045111E"/>
    <w:rsid w:val="00467E14"/>
    <w:rsid w:val="0047120A"/>
    <w:rsid w:val="00487ED3"/>
    <w:rsid w:val="004A2C02"/>
    <w:rsid w:val="004C2ACF"/>
    <w:rsid w:val="004D7057"/>
    <w:rsid w:val="004E0C43"/>
    <w:rsid w:val="004E29D0"/>
    <w:rsid w:val="004E3CF4"/>
    <w:rsid w:val="0050101E"/>
    <w:rsid w:val="0050639F"/>
    <w:rsid w:val="0051208F"/>
    <w:rsid w:val="005366A3"/>
    <w:rsid w:val="00540531"/>
    <w:rsid w:val="005458F3"/>
    <w:rsid w:val="00546986"/>
    <w:rsid w:val="005716DE"/>
    <w:rsid w:val="00571996"/>
    <w:rsid w:val="00595DEF"/>
    <w:rsid w:val="005970E7"/>
    <w:rsid w:val="005B4E3F"/>
    <w:rsid w:val="005D7286"/>
    <w:rsid w:val="005E52B0"/>
    <w:rsid w:val="005F6F6C"/>
    <w:rsid w:val="0060537B"/>
    <w:rsid w:val="006145BB"/>
    <w:rsid w:val="00632949"/>
    <w:rsid w:val="006359E2"/>
    <w:rsid w:val="00641A0E"/>
    <w:rsid w:val="00645BFC"/>
    <w:rsid w:val="00667CD8"/>
    <w:rsid w:val="006842BA"/>
    <w:rsid w:val="00691EB4"/>
    <w:rsid w:val="006956C2"/>
    <w:rsid w:val="006D71B7"/>
    <w:rsid w:val="006D7DEE"/>
    <w:rsid w:val="00734ED5"/>
    <w:rsid w:val="00741232"/>
    <w:rsid w:val="007479CE"/>
    <w:rsid w:val="007508E9"/>
    <w:rsid w:val="00752921"/>
    <w:rsid w:val="007565AF"/>
    <w:rsid w:val="007645AB"/>
    <w:rsid w:val="00772083"/>
    <w:rsid w:val="007C292A"/>
    <w:rsid w:val="007C45EF"/>
    <w:rsid w:val="007D000B"/>
    <w:rsid w:val="007D6216"/>
    <w:rsid w:val="007D76BB"/>
    <w:rsid w:val="007E04DE"/>
    <w:rsid w:val="007F5635"/>
    <w:rsid w:val="007F60D9"/>
    <w:rsid w:val="008130A8"/>
    <w:rsid w:val="008146DB"/>
    <w:rsid w:val="0083248A"/>
    <w:rsid w:val="0083309B"/>
    <w:rsid w:val="00835C8A"/>
    <w:rsid w:val="008374A9"/>
    <w:rsid w:val="00837E54"/>
    <w:rsid w:val="008422C0"/>
    <w:rsid w:val="0084387D"/>
    <w:rsid w:val="00856DF7"/>
    <w:rsid w:val="00857F23"/>
    <w:rsid w:val="008646D6"/>
    <w:rsid w:val="00870812"/>
    <w:rsid w:val="00875F7D"/>
    <w:rsid w:val="008924E7"/>
    <w:rsid w:val="00892E3E"/>
    <w:rsid w:val="008A4BD3"/>
    <w:rsid w:val="008C3E49"/>
    <w:rsid w:val="008D2D89"/>
    <w:rsid w:val="008E09DE"/>
    <w:rsid w:val="008E4559"/>
    <w:rsid w:val="008F5E4F"/>
    <w:rsid w:val="009054EB"/>
    <w:rsid w:val="00907120"/>
    <w:rsid w:val="00911D2E"/>
    <w:rsid w:val="00922D26"/>
    <w:rsid w:val="009357A4"/>
    <w:rsid w:val="00941BDA"/>
    <w:rsid w:val="00960314"/>
    <w:rsid w:val="00965492"/>
    <w:rsid w:val="00975C69"/>
    <w:rsid w:val="009A2DEA"/>
    <w:rsid w:val="009A5BAF"/>
    <w:rsid w:val="009A758E"/>
    <w:rsid w:val="009B30E3"/>
    <w:rsid w:val="009E099A"/>
    <w:rsid w:val="009F3027"/>
    <w:rsid w:val="00A00031"/>
    <w:rsid w:val="00A0065F"/>
    <w:rsid w:val="00A100B3"/>
    <w:rsid w:val="00A1675B"/>
    <w:rsid w:val="00A23B1B"/>
    <w:rsid w:val="00A746B4"/>
    <w:rsid w:val="00A90D6A"/>
    <w:rsid w:val="00A91653"/>
    <w:rsid w:val="00A91654"/>
    <w:rsid w:val="00A9240B"/>
    <w:rsid w:val="00AD5A33"/>
    <w:rsid w:val="00AE6AB2"/>
    <w:rsid w:val="00B50BD8"/>
    <w:rsid w:val="00B63E4F"/>
    <w:rsid w:val="00B76C53"/>
    <w:rsid w:val="00B84DD1"/>
    <w:rsid w:val="00B94DE7"/>
    <w:rsid w:val="00B95DA1"/>
    <w:rsid w:val="00BB7D8D"/>
    <w:rsid w:val="00C21430"/>
    <w:rsid w:val="00C35370"/>
    <w:rsid w:val="00C359A2"/>
    <w:rsid w:val="00C45032"/>
    <w:rsid w:val="00C53234"/>
    <w:rsid w:val="00C60FEA"/>
    <w:rsid w:val="00C61DFC"/>
    <w:rsid w:val="00C66EE2"/>
    <w:rsid w:val="00C8101B"/>
    <w:rsid w:val="00C91B8E"/>
    <w:rsid w:val="00CA1B3E"/>
    <w:rsid w:val="00CC1D96"/>
    <w:rsid w:val="00CC6E47"/>
    <w:rsid w:val="00CE1DAE"/>
    <w:rsid w:val="00D10D49"/>
    <w:rsid w:val="00D360D2"/>
    <w:rsid w:val="00D66E69"/>
    <w:rsid w:val="00D766DD"/>
    <w:rsid w:val="00DB627E"/>
    <w:rsid w:val="00DC51AF"/>
    <w:rsid w:val="00DE1A4F"/>
    <w:rsid w:val="00E0118F"/>
    <w:rsid w:val="00E23A56"/>
    <w:rsid w:val="00E25B91"/>
    <w:rsid w:val="00E36D91"/>
    <w:rsid w:val="00E423BD"/>
    <w:rsid w:val="00E43491"/>
    <w:rsid w:val="00E4714B"/>
    <w:rsid w:val="00E56330"/>
    <w:rsid w:val="00E67493"/>
    <w:rsid w:val="00E80632"/>
    <w:rsid w:val="00EC2F6E"/>
    <w:rsid w:val="00EF0D90"/>
    <w:rsid w:val="00F01385"/>
    <w:rsid w:val="00F1617B"/>
    <w:rsid w:val="00F377D9"/>
    <w:rsid w:val="00F57B43"/>
    <w:rsid w:val="00FA3260"/>
    <w:rsid w:val="00FC52BB"/>
    <w:rsid w:val="00FE2F70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2DA9"/>
  <w15:docId w15:val="{5A4E5598-4518-44D0-B9EA-BBACCDB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06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0632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0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0632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0632"/>
  </w:style>
  <w:style w:type="paragraph" w:styleId="Akapitzlist">
    <w:name w:val="List Paragraph"/>
    <w:basedOn w:val="Normalny"/>
    <w:uiPriority w:val="34"/>
    <w:qFormat/>
    <w:rsid w:val="00E8063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80632"/>
    <w:pPr>
      <w:suppressAutoHyphens/>
      <w:spacing w:before="280" w:after="28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260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i="1"/>
              <a:t>Kontrole WIIH w </a:t>
            </a:r>
            <a:r>
              <a:rPr lang="en-US" sz="1100" b="1" i="1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Białymstoku</a:t>
            </a:r>
            <a:r>
              <a:rPr lang="pl-PL" sz="1100" i="1" baseline="0"/>
              <a:t> w </a:t>
            </a:r>
            <a:r>
              <a:rPr lang="en-US" sz="1100" i="1"/>
              <a:t>rok</a:t>
            </a:r>
            <a:r>
              <a:rPr lang="pl-PL" sz="1100" i="1"/>
              <a:t>u</a:t>
            </a:r>
            <a:r>
              <a:rPr lang="en-US" sz="1100" i="1"/>
              <a:t> </a:t>
            </a:r>
            <a:r>
              <a:rPr lang="pl-PL" sz="1100" i="1"/>
              <a:t>2021</a:t>
            </a:r>
            <a:endParaRPr lang="en-US" sz="110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78"/>
      <c:depthPercent val="5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584729026135574E-2"/>
          <c:y val="0.17934904601571269"/>
          <c:w val="0.6054644472372549"/>
          <c:h val="0.6881257014590348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Kontrole WIIH w Białymstoku - rok 2021</c:v>
                </c:pt>
              </c:strCache>
            </c:strRef>
          </c:tx>
          <c:spPr>
            <a:effectLst>
              <a:outerShdw blurRad="279400" dir="1200000" sx="102000" sy="102000" algn="ctr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33350" h="101600"/>
              <a:bevelB w="38100" h="107950"/>
            </a:sp3d>
          </c:spPr>
          <c:dPt>
            <c:idx val="0"/>
            <c:bubble3D val="0"/>
            <c:spPr>
              <a:solidFill>
                <a:srgbClr val="AC1443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"/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1-EB79-4EC3-9927-7699B879F5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3-EB79-4EC3-9927-7699B879F5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5-EB79-4EC3-9927-7699B879F5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7-EB79-4EC3-9927-7699B879F5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9-EB79-4EC3-9927-7699B879F5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B-EB79-4EC3-9927-7699B879F58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D-8946-4484-B758-554AB1565890}"/>
              </c:ext>
            </c:extLst>
          </c:dPt>
          <c:dLbls>
            <c:dLbl>
              <c:idx val="1"/>
              <c:layout>
                <c:manualLayout>
                  <c:x val="-2.912274402181812E-3"/>
                  <c:y val="-1.05715068444727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79-4EC3-9927-7699B879F58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Nadzór rynku</c:v>
                </c:pt>
                <c:pt idx="1">
                  <c:v>Ogólne bezpieczeństwo</c:v>
                </c:pt>
                <c:pt idx="2">
                  <c:v>Artykuły nieżywnościowe</c:v>
                </c:pt>
                <c:pt idx="3">
                  <c:v>Paliwa</c:v>
                </c:pt>
                <c:pt idx="4">
                  <c:v>Usługi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64</c:v>
                </c:pt>
                <c:pt idx="1">
                  <c:v>14</c:v>
                </c:pt>
                <c:pt idx="2">
                  <c:v>66</c:v>
                </c:pt>
                <c:pt idx="3">
                  <c:v>81</c:v>
                </c:pt>
                <c:pt idx="4">
                  <c:v>68</c:v>
                </c:pt>
                <c:pt idx="5">
                  <c:v>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B79-4EC3-9927-7699B879F5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16620927270097"/>
          <c:y val="0.16355788859725867"/>
          <c:w val="0.30090572554652167"/>
          <c:h val="0.75477363309384304"/>
        </c:manualLayout>
      </c:layout>
      <c:overlay val="0"/>
      <c:spPr>
        <a:effectLst>
          <a:softEdge rad="63500"/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Badania laboratoryjne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06246719160105"/>
          <c:y val="0.1480590717299578"/>
          <c:w val="0.83045268432355046"/>
          <c:h val="0.53833914747998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Próbki skierowane do badań laboratoryjnych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2021 rok</c:v>
                </c:pt>
                <c:pt idx="1">
                  <c:v>2020 rok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6-4BBB-9C5F-2F5E5504E7A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Próbki zakwestionowane w wyniku badań laboratoryjnych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2021 rok</c:v>
                </c:pt>
                <c:pt idx="1">
                  <c:v>2020 rok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19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86-4BBB-9C5F-2F5E5504E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52446976"/>
        <c:axId val="252452864"/>
        <c:axId val="0"/>
      </c:bar3DChart>
      <c:catAx>
        <c:axId val="25244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452864"/>
        <c:crosses val="autoZero"/>
        <c:auto val="1"/>
        <c:lblAlgn val="ctr"/>
        <c:lblOffset val="100"/>
        <c:noMultiLvlLbl val="0"/>
      </c:catAx>
      <c:valAx>
        <c:axId val="25245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44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89756555659898"/>
          <c:y val="0.76851697459386203"/>
          <c:w val="0.79305706052798441"/>
          <c:h val="0.20969653303141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w="0" h="25400" prst="coolSlant"/>
      <a:bevelB w="12700"/>
    </a:sp3d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Środki przeznaczone na badania laboratoryjne w zł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2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3691275167785234E-2"/>
                  <c:y val="-4.357298474945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A7-4005-95BB-FC59EC0704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Kwota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33529.660000000003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A7-4005-95BB-FC59EC07046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217002237136549E-2"/>
                  <c:y val="-3.9215686274509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A7-4005-95BB-FC59EC0704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Kwota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10335.200000000001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A7-4005-95BB-FC59EC070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514688"/>
        <c:axId val="252516224"/>
        <c:axId val="0"/>
      </c:bar3DChart>
      <c:catAx>
        <c:axId val="25251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516224"/>
        <c:crosses val="autoZero"/>
        <c:auto val="1"/>
        <c:lblAlgn val="ctr"/>
        <c:lblOffset val="100"/>
        <c:noMultiLvlLbl val="0"/>
      </c:catAx>
      <c:valAx>
        <c:axId val="25251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51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/>
              <a:t>Skuteczność pozasądowego rozwiązywania</a:t>
            </a:r>
            <a:r>
              <a:rPr lang="pl-PL" sz="1100" b="1" i="1" baseline="0"/>
              <a:t> sporów konsumenckich</a:t>
            </a:r>
            <a:r>
              <a:rPr lang="en-US" sz="1100" b="1" i="1"/>
              <a:t> </a:t>
            </a:r>
          </a:p>
        </c:rich>
      </c:tx>
      <c:layout>
        <c:manualLayout>
          <c:xMode val="edge"/>
          <c:yMode val="edge"/>
          <c:x val="0.142444292964450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072305151045306"/>
          <c:y val="0.23093763586300178"/>
          <c:w val="0.51003394845914529"/>
          <c:h val="0.405211020401590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 pozasądowych postępowań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A4-4E49-A185-137D3FFE1B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A4-4E49-A185-137D3FFE1B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Wnioski zakończone pozytywnie dla konsumenta</c:v>
                </c:pt>
                <c:pt idx="1">
                  <c:v>Wnioski zakończone negatywnie dla konsumenta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140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A4-4E49-A185-137D3FFE1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92086462165205"/>
          <c:y val="0.7178994847866238"/>
          <c:w val="0.72904630164472684"/>
          <c:h val="0.21296471274424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 baseline="0"/>
              <a:t>Wnioski kierowane do SSP</a:t>
            </a:r>
            <a:endParaRPr lang="pl-PL" sz="1100" b="1" i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874216024201793"/>
          <c:y val="0.17109361329833772"/>
          <c:w val="0.42251567951596414"/>
          <c:h val="0.5479500218722659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skierowanych spraw do SSP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4D-4F06-AD18-CC91C50E45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4D-4F06-AD18-CC91C50E45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Sprawy zakończone rozstrzygnięciem</c:v>
                </c:pt>
                <c:pt idx="1">
                  <c:v>Sprawy zakończone zwrotem wniosku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44D-4F06-AD18-CC91C50E45E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251707898214843E-2"/>
          <c:y val="0.7402810161097354"/>
          <c:w val="0.81671785707637612"/>
          <c:h val="0.216218104315907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Wartość kar administracyjnych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602304762409751"/>
          <c:y val="0.18872180451127821"/>
          <c:w val="0.76112622285850629"/>
          <c:h val="0.595371499615179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382716049382637E-2"/>
                  <c:y val="-4.5112781954887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B5-4ED3-A4A6-6D67A6C6B0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Wartość kar administracyjnych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288300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7-4FE5-93A1-CD8E0C2A920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3872053872053786E-2"/>
                  <c:y val="-4.010025062656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B5-4ED3-A4A6-6D67A6C6B0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Wartość kar administracyjnych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177654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A7-4FE5-93A1-CD8E0C2A9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188032"/>
        <c:axId val="150189568"/>
        <c:axId val="0"/>
      </c:bar3DChart>
      <c:catAx>
        <c:axId val="15018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189568"/>
        <c:crosses val="autoZero"/>
        <c:auto val="1"/>
        <c:lblAlgn val="ctr"/>
        <c:lblOffset val="100"/>
        <c:noMultiLvlLbl val="0"/>
      </c:catAx>
      <c:valAx>
        <c:axId val="15018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18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Ilość decyzji administracyjnych nakładających</a:t>
            </a:r>
            <a:r>
              <a:rPr lang="pl-PL" sz="1200" baseline="0"/>
              <a:t> kary</a:t>
            </a:r>
            <a:endParaRPr lang="pl-PL" sz="1200"/>
          </a:p>
        </c:rich>
      </c:tx>
      <c:layout>
        <c:manualLayout>
          <c:xMode val="edge"/>
          <c:yMode val="edge"/>
          <c:x val="0.17716216216216216"/>
          <c:y val="3.00751879699248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513513513513514E-2"/>
                  <c:y val="-6.015037593984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0F-448F-BEA7-BDA8708F8B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Ilość decyzji nakładających kary administracyjne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91-4E61-BAF6-EA8F930F485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54954954954955E-2"/>
                  <c:y val="-4.5112781954887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0F-448F-BEA7-BDA8708F8B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Ilość decyzji nakładających kary administracyjne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91-4E61-BAF6-EA8F930F4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210048"/>
        <c:axId val="150211584"/>
        <c:axId val="0"/>
      </c:bar3DChart>
      <c:catAx>
        <c:axId val="15021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211584"/>
        <c:crosses val="autoZero"/>
        <c:auto val="1"/>
        <c:lblAlgn val="ctr"/>
        <c:lblOffset val="100"/>
        <c:noMultiLvlLbl val="0"/>
      </c:catAx>
      <c:valAx>
        <c:axId val="150211584"/>
        <c:scaling>
          <c:orientation val="minMax"/>
          <c:max val="105"/>
          <c:min val="60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21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/>
              <a:t>Kontrola jakości</a:t>
            </a:r>
            <a:r>
              <a:rPr lang="pl-PL" sz="1100" b="1" i="1" baseline="0"/>
              <a:t> paliw</a:t>
            </a:r>
          </a:p>
        </c:rich>
      </c:tx>
      <c:layout>
        <c:manualLayout>
          <c:xMode val="edge"/>
          <c:yMode val="edge"/>
          <c:x val="0.23599662261668658"/>
          <c:y val="3.364885739908629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sideWall>
    <c:backWall>
      <c:thickness val="0"/>
      <c:spPr>
        <a:noFill/>
        <a:ln>
          <a:noFill/>
        </a:ln>
        <a:effectLst/>
        <a:sp3d>
          <a:contourClr>
            <a:schemeClr val="bg1"/>
          </a:contourClr>
        </a:sp3d>
      </c:spPr>
    </c:backWall>
    <c:plotArea>
      <c:layout>
        <c:manualLayout>
          <c:layoutTarget val="inner"/>
          <c:xMode val="edge"/>
          <c:yMode val="edge"/>
          <c:x val="0.25558922781711108"/>
          <c:y val="0.13832969265938533"/>
          <c:w val="0.72636317519133642"/>
          <c:h val="0.579549911099822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Wynik prawidłowy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Arkusz1!$A$2:$A$5</c:f>
              <c:strCache>
                <c:ptCount val="2"/>
                <c:pt idx="0">
                  <c:v>Paliwa ciekłe</c:v>
                </c:pt>
                <c:pt idx="1">
                  <c:v>Paliwa stałe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60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21-4706-9600-0C975D468E4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Wynik nieprawidłowy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204481792717087E-2"/>
                  <c:y val="-2.5806451612903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70-477B-B024-43E24692171A}"/>
                </c:ext>
              </c:extLst>
            </c:dLbl>
            <c:dLbl>
              <c:idx val="1"/>
              <c:layout>
                <c:manualLayout>
                  <c:x val="1.1204481792717087E-2"/>
                  <c:y val="-4.7311827956989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70-477B-B024-43E2469217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Arkusz1!$A$2:$A$5</c:f>
              <c:strCache>
                <c:ptCount val="2"/>
                <c:pt idx="0">
                  <c:v>Paliwa ciekłe</c:v>
                </c:pt>
                <c:pt idx="1">
                  <c:v>Paliwa stałe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21-4706-9600-0C975D468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440960"/>
        <c:axId val="150442752"/>
        <c:axId val="0"/>
      </c:bar3DChart>
      <c:catAx>
        <c:axId val="15044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442752"/>
        <c:crosses val="autoZero"/>
        <c:auto val="1"/>
        <c:lblAlgn val="ctr"/>
        <c:lblOffset val="100"/>
        <c:noMultiLvlLbl val="0"/>
      </c:catAx>
      <c:valAx>
        <c:axId val="15044275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aseline="0"/>
                  <a:t>Liczba kontroli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7.5034738304770709E-3"/>
              <c:y val="0.346907459148251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44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762301771102142"/>
          <c:y val="0.86186808906951151"/>
          <c:w val="0.64541113937160177"/>
          <c:h val="9.18123945061818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/>
              <a:t>Obszar</a:t>
            </a:r>
            <a:r>
              <a:rPr lang="pl-PL" sz="1100" b="1" i="1" baseline="0"/>
              <a:t> nadzoru rynku</a:t>
            </a:r>
            <a:endParaRPr lang="pl-PL" sz="1100" b="1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5923261390887284E-3"/>
                  <c:y val="-2.9197080291970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15-4094-B270-AA3EAE61B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C-42D2-BD36-E111A64EE3E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776978417266098E-2"/>
                  <c:y val="-2.9197080291970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15-4094-B270-AA3EAE61B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3C-42D2-BD36-E111A64EE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688896"/>
        <c:axId val="150690432"/>
        <c:axId val="0"/>
      </c:bar3DChart>
      <c:catAx>
        <c:axId val="1506888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0690432"/>
        <c:crosses val="autoZero"/>
        <c:auto val="1"/>
        <c:lblAlgn val="ctr"/>
        <c:lblOffset val="100"/>
        <c:noMultiLvlLbl val="0"/>
      </c:catAx>
      <c:valAx>
        <c:axId val="15069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6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/>
              <a:t>Ogólne bezpieczeństwo</a:t>
            </a:r>
          </a:p>
        </c:rich>
      </c:tx>
      <c:layout>
        <c:manualLayout>
          <c:xMode val="edge"/>
          <c:yMode val="edge"/>
          <c:x val="0.22636926889714995"/>
          <c:y val="3.162055335968379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391163929787586"/>
          <c:y val="0.17276485788113696"/>
          <c:w val="0.72156543629072389"/>
          <c:h val="0.572711957516938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783147459727387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71-49E6-94E2-810EB614E6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0-4145-B12D-FAE5FF93BEB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653035935563727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71-49E6-94E2-810EB614E6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30-4145-B12D-FAE5FF93B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01408"/>
        <c:axId val="150819584"/>
        <c:axId val="0"/>
      </c:bar3DChart>
      <c:catAx>
        <c:axId val="150801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0819584"/>
        <c:crosses val="autoZero"/>
        <c:auto val="1"/>
        <c:lblAlgn val="ctr"/>
        <c:lblOffset val="100"/>
        <c:noMultiLvlLbl val="0"/>
      </c:catAx>
      <c:valAx>
        <c:axId val="15081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aseline="0"/>
                  <a:t>Ilość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80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u="none" strike="noStrike" baseline="0">
                <a:effectLst/>
              </a:rPr>
              <a:t>Informowanie konsumentów o cenach towarów i usług</a:t>
            </a:r>
            <a:endParaRPr lang="pl-PL" sz="1050" i="1"/>
          </a:p>
        </c:rich>
      </c:tx>
      <c:layout>
        <c:manualLayout>
          <c:xMode val="edge"/>
          <c:yMode val="edge"/>
          <c:x val="0.12446236559139782"/>
          <c:y val="2.656042496679946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kontroli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258064516129031E-2"/>
                  <c:y val="-1.3513513513513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A4-4CDB-9CC3-B8F684A1162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A-4079-B46D-2AD9724244D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kontroli, w których stwierdzono nieprawidłowości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3763440860215055E-2"/>
                  <c:y val="-4.504504504504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A4-4CDB-9CC3-B8F684A1162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1A-4079-B46D-2AD972424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52736"/>
        <c:axId val="150854272"/>
        <c:axId val="0"/>
      </c:bar3DChart>
      <c:catAx>
        <c:axId val="1508527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0854272"/>
        <c:crosses val="autoZero"/>
        <c:auto val="1"/>
        <c:lblAlgn val="ctr"/>
        <c:lblOffset val="100"/>
        <c:noMultiLvlLbl val="0"/>
      </c:catAx>
      <c:valAx>
        <c:axId val="15085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przeprowadzonych kontroli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85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507366014732027"/>
          <c:y val="0.76712959660530233"/>
          <c:w val="0.80813182626365254"/>
          <c:h val="0.20035007819144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Kontrole artykułów nieżywnościowych</a:t>
            </a:r>
            <a:endParaRPr lang="pl-PL" sz="1100" i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746031746031744E-2"/>
                  <c:y val="-2.5889967637540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5A-484E-8F2C-5208615881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8-4298-B0A0-68F4F67544B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619047619047616E-2"/>
                  <c:y val="-2.1574973031283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5A-484E-8F2C-5208615881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48-4298-B0A0-68F4F6754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496000"/>
        <c:axId val="154518272"/>
        <c:axId val="0"/>
      </c:bar3DChart>
      <c:catAx>
        <c:axId val="1544960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4518272"/>
        <c:crosses val="autoZero"/>
        <c:auto val="1"/>
        <c:lblAlgn val="ctr"/>
        <c:lblOffset val="100"/>
        <c:noMultiLvlLbl val="0"/>
      </c:catAx>
      <c:valAx>
        <c:axId val="15451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449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Kontrola</a:t>
            </a:r>
            <a:r>
              <a:rPr lang="pl-PL" sz="1100" b="1" i="1" baseline="0">
                <a:effectLst/>
              </a:rPr>
              <a:t> usług</a:t>
            </a:r>
            <a:endParaRPr lang="pl-PL" sz="1100" b="1" i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Kontrole bez nieprawidłowości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746031746031744E-2"/>
                  <c:y val="-1.418439716312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2A-4A49-99C7-503F197E06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1A-49FE-9946-5DDFB8A263D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Kontrole z nieprawidłowościami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328042328042326E-2"/>
                  <c:y val="-2.836879432624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2A-4A49-99C7-503F197E06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1A-49FE-9946-5DDFB8A26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289664"/>
        <c:axId val="196291200"/>
        <c:axId val="0"/>
      </c:bar3DChart>
      <c:catAx>
        <c:axId val="1962896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6291200"/>
        <c:crosses val="autoZero"/>
        <c:auto val="1"/>
        <c:lblAlgn val="ctr"/>
        <c:lblOffset val="100"/>
        <c:noMultiLvlLbl val="0"/>
      </c:catAx>
      <c:valAx>
        <c:axId val="19629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podmiotów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628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3FDA-789D-42B3-885B-44AB9248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Baran</dc:creator>
  <cp:keywords/>
  <dc:description/>
  <cp:lastModifiedBy>Piotr Kempisty</cp:lastModifiedBy>
  <cp:revision>2</cp:revision>
  <cp:lastPrinted>2022-02-15T07:20:00Z</cp:lastPrinted>
  <dcterms:created xsi:type="dcterms:W3CDTF">2022-02-17T14:31:00Z</dcterms:created>
  <dcterms:modified xsi:type="dcterms:W3CDTF">2022-02-17T14:31:00Z</dcterms:modified>
</cp:coreProperties>
</file>