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E4" w:rsidRPr="00621E42" w:rsidRDefault="00765DE4" w:rsidP="001C6C38">
      <w:pPr>
        <w:spacing w:line="360" w:lineRule="auto"/>
        <w:jc w:val="center"/>
        <w:outlineLvl w:val="0"/>
        <w:rPr>
          <w:b/>
          <w:sz w:val="35"/>
          <w:szCs w:val="35"/>
        </w:rPr>
      </w:pPr>
      <w:r w:rsidRPr="00621E42">
        <w:rPr>
          <w:b/>
          <w:sz w:val="35"/>
          <w:szCs w:val="35"/>
        </w:rPr>
        <w:t>WOJEWÓDZKI INSPEKTORAT</w:t>
      </w:r>
    </w:p>
    <w:p w:rsidR="00765DE4" w:rsidRPr="00621E42" w:rsidRDefault="00765DE4" w:rsidP="001C6C38">
      <w:pPr>
        <w:spacing w:line="360" w:lineRule="auto"/>
        <w:jc w:val="center"/>
        <w:outlineLvl w:val="0"/>
        <w:rPr>
          <w:b/>
          <w:sz w:val="35"/>
          <w:szCs w:val="35"/>
        </w:rPr>
      </w:pPr>
      <w:r w:rsidRPr="00621E42">
        <w:rPr>
          <w:b/>
          <w:sz w:val="35"/>
          <w:szCs w:val="35"/>
        </w:rPr>
        <w:t>INSPEKCJI HANDLOWEJ</w:t>
      </w:r>
    </w:p>
    <w:p w:rsidR="00765DE4" w:rsidRPr="00621E42" w:rsidRDefault="00765DE4" w:rsidP="001C6C38">
      <w:pPr>
        <w:spacing w:line="360" w:lineRule="auto"/>
        <w:jc w:val="center"/>
        <w:outlineLvl w:val="0"/>
        <w:rPr>
          <w:b/>
          <w:sz w:val="35"/>
          <w:szCs w:val="35"/>
        </w:rPr>
      </w:pPr>
      <w:r w:rsidRPr="00621E42">
        <w:rPr>
          <w:b/>
          <w:sz w:val="35"/>
          <w:szCs w:val="35"/>
        </w:rPr>
        <w:t>W BIAŁYMSTOKU</w:t>
      </w:r>
    </w:p>
    <w:p w:rsidR="00765DE4" w:rsidRPr="00621E42" w:rsidRDefault="00765DE4" w:rsidP="00471DD5">
      <w:pPr>
        <w:spacing w:line="360" w:lineRule="auto"/>
        <w:jc w:val="center"/>
        <w:rPr>
          <w:b/>
          <w:sz w:val="35"/>
          <w:szCs w:val="35"/>
        </w:rPr>
      </w:pPr>
    </w:p>
    <w:p w:rsidR="00765DE4" w:rsidRPr="00621E42" w:rsidRDefault="009135AD" w:rsidP="00471DD5">
      <w:pPr>
        <w:spacing w:line="360" w:lineRule="auto"/>
        <w:jc w:val="center"/>
      </w:pPr>
      <w:r w:rsidRPr="00621E42">
        <w:rPr>
          <w:noProof/>
        </w:rPr>
        <w:drawing>
          <wp:inline distT="0" distB="0" distL="0" distR="0" wp14:anchorId="469EA2B2" wp14:editId="4ED46081">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rsidR="00BF4240" w:rsidRPr="00621E42" w:rsidRDefault="00BF4240" w:rsidP="00471DD5">
      <w:pPr>
        <w:spacing w:line="360" w:lineRule="auto"/>
        <w:jc w:val="center"/>
        <w:rPr>
          <w:b/>
          <w:sz w:val="35"/>
          <w:szCs w:val="35"/>
        </w:rPr>
      </w:pPr>
    </w:p>
    <w:p w:rsidR="00765DE4" w:rsidRPr="00621E42" w:rsidRDefault="00765DE4" w:rsidP="001C6C38">
      <w:pPr>
        <w:spacing w:line="360" w:lineRule="auto"/>
        <w:jc w:val="center"/>
        <w:outlineLvl w:val="0"/>
        <w:rPr>
          <w:b/>
          <w:bCs/>
          <w:sz w:val="69"/>
          <w:szCs w:val="69"/>
        </w:rPr>
      </w:pPr>
      <w:r w:rsidRPr="00621E42">
        <w:rPr>
          <w:b/>
          <w:bCs/>
          <w:sz w:val="69"/>
          <w:szCs w:val="69"/>
        </w:rPr>
        <w:t xml:space="preserve">Sprawozdanie </w:t>
      </w:r>
    </w:p>
    <w:p w:rsidR="0066567B" w:rsidRPr="00621E42" w:rsidRDefault="00EE7D07" w:rsidP="00471DD5">
      <w:pPr>
        <w:spacing w:line="360" w:lineRule="auto"/>
        <w:jc w:val="center"/>
        <w:rPr>
          <w:b/>
          <w:bCs/>
          <w:sz w:val="69"/>
          <w:szCs w:val="69"/>
        </w:rPr>
      </w:pPr>
      <w:r w:rsidRPr="00621E42">
        <w:rPr>
          <w:b/>
          <w:bCs/>
          <w:sz w:val="69"/>
          <w:szCs w:val="69"/>
        </w:rPr>
        <w:t xml:space="preserve">z działalności </w:t>
      </w:r>
      <w:r w:rsidR="00370992" w:rsidRPr="00621E42">
        <w:rPr>
          <w:b/>
          <w:bCs/>
          <w:sz w:val="69"/>
          <w:szCs w:val="69"/>
        </w:rPr>
        <w:t xml:space="preserve">Inspektoratu </w:t>
      </w:r>
    </w:p>
    <w:p w:rsidR="00765DE4" w:rsidRPr="00621E42" w:rsidRDefault="00B27D26" w:rsidP="00471DD5">
      <w:pPr>
        <w:spacing w:line="360" w:lineRule="auto"/>
        <w:jc w:val="center"/>
        <w:rPr>
          <w:b/>
          <w:sz w:val="35"/>
          <w:szCs w:val="35"/>
        </w:rPr>
      </w:pPr>
      <w:r w:rsidRPr="00621E42">
        <w:rPr>
          <w:b/>
          <w:bCs/>
          <w:sz w:val="69"/>
          <w:szCs w:val="69"/>
        </w:rPr>
        <w:t>za rok 201</w:t>
      </w:r>
      <w:r w:rsidR="00621E42" w:rsidRPr="00621E42">
        <w:rPr>
          <w:b/>
          <w:bCs/>
          <w:sz w:val="69"/>
          <w:szCs w:val="69"/>
        </w:rPr>
        <w:t>6</w:t>
      </w:r>
    </w:p>
    <w:p w:rsidR="00765DE4" w:rsidRPr="00621E42" w:rsidRDefault="00765DE4" w:rsidP="00471DD5">
      <w:pPr>
        <w:spacing w:line="360" w:lineRule="auto"/>
        <w:jc w:val="center"/>
        <w:rPr>
          <w:b/>
          <w:sz w:val="35"/>
          <w:szCs w:val="35"/>
        </w:rPr>
      </w:pPr>
    </w:p>
    <w:p w:rsidR="00471DD5" w:rsidRPr="00621E42" w:rsidRDefault="00471DD5" w:rsidP="00471DD5">
      <w:pPr>
        <w:spacing w:line="360" w:lineRule="auto"/>
        <w:jc w:val="center"/>
        <w:rPr>
          <w:b/>
          <w:sz w:val="35"/>
          <w:szCs w:val="35"/>
        </w:rPr>
      </w:pPr>
    </w:p>
    <w:p w:rsidR="00765DE4" w:rsidRPr="00621E42" w:rsidRDefault="00765DE4" w:rsidP="00471DD5">
      <w:pPr>
        <w:spacing w:line="360" w:lineRule="auto"/>
        <w:jc w:val="center"/>
        <w:rPr>
          <w:b/>
          <w:sz w:val="35"/>
          <w:szCs w:val="35"/>
        </w:rPr>
      </w:pPr>
    </w:p>
    <w:p w:rsidR="007D5410" w:rsidRPr="00621E42" w:rsidRDefault="007D5410" w:rsidP="001C6C38">
      <w:pPr>
        <w:spacing w:line="360" w:lineRule="auto"/>
        <w:jc w:val="center"/>
        <w:outlineLvl w:val="0"/>
        <w:rPr>
          <w:b/>
          <w:sz w:val="35"/>
          <w:szCs w:val="35"/>
        </w:rPr>
      </w:pPr>
    </w:p>
    <w:p w:rsidR="007D5410" w:rsidRPr="00621E42" w:rsidRDefault="007D5410" w:rsidP="001C6C38">
      <w:pPr>
        <w:spacing w:line="360" w:lineRule="auto"/>
        <w:jc w:val="center"/>
        <w:outlineLvl w:val="0"/>
        <w:rPr>
          <w:b/>
          <w:sz w:val="35"/>
          <w:szCs w:val="35"/>
        </w:rPr>
      </w:pPr>
    </w:p>
    <w:p w:rsidR="000A6068" w:rsidRPr="00621E42" w:rsidRDefault="00E61B78" w:rsidP="001C6C38">
      <w:pPr>
        <w:spacing w:line="360" w:lineRule="auto"/>
        <w:jc w:val="center"/>
        <w:outlineLvl w:val="0"/>
        <w:rPr>
          <w:b/>
          <w:sz w:val="35"/>
          <w:szCs w:val="35"/>
        </w:rPr>
      </w:pPr>
      <w:r w:rsidRPr="00621E42">
        <w:rPr>
          <w:b/>
          <w:sz w:val="35"/>
          <w:szCs w:val="35"/>
        </w:rPr>
        <w:t>Białystok 201</w:t>
      </w:r>
      <w:r w:rsidR="00621E42" w:rsidRPr="00621E42">
        <w:rPr>
          <w:b/>
          <w:sz w:val="35"/>
          <w:szCs w:val="35"/>
        </w:rPr>
        <w:t>7</w:t>
      </w:r>
      <w:r w:rsidRPr="00621E42">
        <w:rPr>
          <w:b/>
          <w:sz w:val="35"/>
          <w:szCs w:val="35"/>
        </w:rPr>
        <w:t xml:space="preserve"> r.</w:t>
      </w:r>
    </w:p>
    <w:p w:rsidR="00282468" w:rsidRPr="00621E42" w:rsidRDefault="00282468"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247F3C" w:rsidRPr="007E349D" w:rsidRDefault="00247F3C" w:rsidP="00471DD5">
      <w:pPr>
        <w:spacing w:line="360" w:lineRule="auto"/>
        <w:jc w:val="center"/>
        <w:rPr>
          <w:b/>
          <w:bCs/>
          <w:sz w:val="35"/>
          <w:szCs w:val="35"/>
        </w:rPr>
      </w:pPr>
      <w:r w:rsidRPr="007E349D">
        <w:rPr>
          <w:b/>
          <w:bCs/>
          <w:sz w:val="35"/>
          <w:szCs w:val="35"/>
        </w:rPr>
        <w:lastRenderedPageBreak/>
        <w:t>Spis treści</w:t>
      </w:r>
    </w:p>
    <w:p w:rsidR="00DB27E6" w:rsidRPr="007E349D" w:rsidRDefault="00DB27E6" w:rsidP="00471DD5">
      <w:pPr>
        <w:spacing w:line="360" w:lineRule="auto"/>
        <w:jc w:val="center"/>
        <w:rPr>
          <w:b/>
          <w:bCs/>
          <w:sz w:val="35"/>
          <w:szCs w:val="35"/>
        </w:rPr>
      </w:pPr>
    </w:p>
    <w:p w:rsidR="00247F3C" w:rsidRPr="007E349D" w:rsidRDefault="00BD5CE0" w:rsidP="00471DD5">
      <w:pPr>
        <w:tabs>
          <w:tab w:val="left" w:pos="1080"/>
          <w:tab w:val="right" w:leader="dot" w:pos="8760"/>
        </w:tabs>
        <w:spacing w:line="360" w:lineRule="auto"/>
        <w:ind w:left="357"/>
        <w:jc w:val="both"/>
        <w:rPr>
          <w:b/>
          <w:bCs/>
          <w:sz w:val="23"/>
          <w:szCs w:val="23"/>
        </w:rPr>
      </w:pPr>
      <w:r w:rsidRPr="007E349D">
        <w:rPr>
          <w:b/>
          <w:bCs/>
          <w:sz w:val="23"/>
          <w:szCs w:val="23"/>
        </w:rPr>
        <w:t>I.</w:t>
      </w:r>
      <w:r w:rsidRPr="007E349D">
        <w:rPr>
          <w:b/>
          <w:bCs/>
          <w:sz w:val="23"/>
          <w:szCs w:val="23"/>
        </w:rPr>
        <w:tab/>
        <w:t>Cele i zakres działalności</w:t>
      </w:r>
      <w:r w:rsidR="00A933F1" w:rsidRPr="007E349D">
        <w:rPr>
          <w:b/>
          <w:bCs/>
          <w:sz w:val="23"/>
          <w:szCs w:val="23"/>
        </w:rPr>
        <w:tab/>
      </w:r>
      <w:r w:rsidR="009B448D" w:rsidRPr="007E349D">
        <w:rPr>
          <w:b/>
          <w:bCs/>
          <w:sz w:val="23"/>
          <w:szCs w:val="23"/>
        </w:rPr>
        <w:t>3</w:t>
      </w:r>
    </w:p>
    <w:p w:rsidR="00BE3225" w:rsidRPr="007E349D" w:rsidRDefault="00BE3225" w:rsidP="00471DD5">
      <w:pPr>
        <w:tabs>
          <w:tab w:val="left" w:pos="1080"/>
          <w:tab w:val="right" w:leader="dot" w:pos="8760"/>
        </w:tabs>
        <w:spacing w:line="360" w:lineRule="auto"/>
        <w:ind w:left="357"/>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 xml:space="preserve">Działalność kontrolna </w:t>
      </w:r>
      <w:r w:rsidR="008E68E4" w:rsidRPr="007E349D">
        <w:rPr>
          <w:b/>
          <w:bCs/>
          <w:sz w:val="23"/>
          <w:szCs w:val="23"/>
        </w:rPr>
        <w:tab/>
      </w:r>
      <w:r w:rsidR="007E349D" w:rsidRPr="007E349D">
        <w:rPr>
          <w:b/>
          <w:bCs/>
          <w:sz w:val="23"/>
          <w:szCs w:val="23"/>
        </w:rPr>
        <w:t>3</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N</w:t>
      </w:r>
      <w:r w:rsidR="00A933F1" w:rsidRPr="007E349D">
        <w:rPr>
          <w:bCs/>
          <w:i/>
          <w:sz w:val="23"/>
          <w:szCs w:val="23"/>
        </w:rPr>
        <w:t>adz</w:t>
      </w:r>
      <w:r w:rsidRPr="007E349D">
        <w:rPr>
          <w:bCs/>
          <w:i/>
          <w:sz w:val="23"/>
          <w:szCs w:val="23"/>
        </w:rPr>
        <w:t>ór</w:t>
      </w:r>
      <w:r w:rsidR="00A933F1" w:rsidRPr="007E349D">
        <w:rPr>
          <w:bCs/>
          <w:i/>
          <w:sz w:val="23"/>
          <w:szCs w:val="23"/>
        </w:rPr>
        <w:t xml:space="preserve"> rynku</w:t>
      </w:r>
      <w:r w:rsidR="00A933F1" w:rsidRPr="007E349D">
        <w:rPr>
          <w:bCs/>
          <w:i/>
          <w:sz w:val="23"/>
          <w:szCs w:val="23"/>
        </w:rPr>
        <w:tab/>
      </w:r>
      <w:r w:rsidR="007E349D" w:rsidRPr="007E349D">
        <w:rPr>
          <w:bCs/>
          <w:i/>
          <w:sz w:val="23"/>
          <w:szCs w:val="23"/>
        </w:rPr>
        <w:t>5</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B</w:t>
      </w:r>
      <w:r w:rsidR="001A2473" w:rsidRPr="007E349D">
        <w:rPr>
          <w:bCs/>
          <w:i/>
          <w:sz w:val="23"/>
          <w:szCs w:val="23"/>
        </w:rPr>
        <w:t>ezpieczeństwo</w:t>
      </w:r>
      <w:r w:rsidR="00A933F1" w:rsidRPr="007E349D">
        <w:rPr>
          <w:bCs/>
          <w:i/>
          <w:sz w:val="23"/>
          <w:szCs w:val="23"/>
        </w:rPr>
        <w:t xml:space="preserve"> produktów</w:t>
      </w:r>
      <w:r w:rsidR="00A933F1" w:rsidRPr="007E349D">
        <w:rPr>
          <w:bCs/>
          <w:i/>
          <w:sz w:val="23"/>
          <w:szCs w:val="23"/>
        </w:rPr>
        <w:tab/>
      </w:r>
      <w:r w:rsidR="007E349D" w:rsidRPr="007E349D">
        <w:rPr>
          <w:bCs/>
          <w:i/>
          <w:sz w:val="23"/>
          <w:szCs w:val="23"/>
        </w:rPr>
        <w:t>7</w:t>
      </w:r>
    </w:p>
    <w:p w:rsidR="00A933F1" w:rsidRPr="007E349D" w:rsidRDefault="008D04B7" w:rsidP="004670DB">
      <w:pPr>
        <w:numPr>
          <w:ilvl w:val="0"/>
          <w:numId w:val="5"/>
        </w:numPr>
        <w:tabs>
          <w:tab w:val="right" w:leader="dot" w:pos="8760"/>
        </w:tabs>
        <w:spacing w:line="360" w:lineRule="auto"/>
        <w:jc w:val="both"/>
        <w:rPr>
          <w:bCs/>
          <w:i/>
          <w:sz w:val="23"/>
          <w:szCs w:val="23"/>
        </w:rPr>
      </w:pPr>
      <w:r w:rsidRPr="007E349D">
        <w:rPr>
          <w:bCs/>
          <w:i/>
          <w:sz w:val="23"/>
          <w:szCs w:val="23"/>
        </w:rPr>
        <w:t>Jakość paliw</w:t>
      </w:r>
      <w:r w:rsidR="00A933F1" w:rsidRPr="007E349D">
        <w:rPr>
          <w:bCs/>
          <w:i/>
          <w:sz w:val="23"/>
          <w:szCs w:val="23"/>
        </w:rPr>
        <w:tab/>
      </w:r>
      <w:r w:rsidR="007E349D" w:rsidRPr="007E349D">
        <w:rPr>
          <w:bCs/>
          <w:i/>
          <w:sz w:val="23"/>
          <w:szCs w:val="23"/>
        </w:rPr>
        <w:t>10</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nieżywnościowe i usługi</w:t>
      </w:r>
      <w:r w:rsidRPr="007E349D">
        <w:rPr>
          <w:bCs/>
          <w:i/>
          <w:sz w:val="23"/>
          <w:szCs w:val="23"/>
        </w:rPr>
        <w:tab/>
      </w:r>
      <w:r w:rsidR="007E349D" w:rsidRPr="007E349D">
        <w:rPr>
          <w:bCs/>
          <w:i/>
          <w:sz w:val="23"/>
          <w:szCs w:val="23"/>
        </w:rPr>
        <w:t>11</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żywnościowe</w:t>
      </w:r>
      <w:r w:rsidR="00A933F1" w:rsidRPr="007E349D">
        <w:rPr>
          <w:bCs/>
          <w:i/>
          <w:sz w:val="23"/>
          <w:szCs w:val="23"/>
        </w:rPr>
        <w:tab/>
      </w:r>
      <w:r w:rsidR="005D5F77" w:rsidRPr="007E349D">
        <w:rPr>
          <w:bCs/>
          <w:i/>
          <w:sz w:val="23"/>
          <w:szCs w:val="23"/>
        </w:rPr>
        <w:t>1</w:t>
      </w:r>
      <w:r w:rsidR="00855341" w:rsidRPr="007E349D">
        <w:rPr>
          <w:bCs/>
          <w:i/>
          <w:sz w:val="23"/>
          <w:szCs w:val="23"/>
        </w:rPr>
        <w:t>6</w:t>
      </w:r>
    </w:p>
    <w:p w:rsidR="00B33E80" w:rsidRPr="007E349D" w:rsidRDefault="007E349D" w:rsidP="004670DB">
      <w:pPr>
        <w:numPr>
          <w:ilvl w:val="0"/>
          <w:numId w:val="5"/>
        </w:numPr>
        <w:tabs>
          <w:tab w:val="right" w:leader="dot" w:pos="8760"/>
        </w:tabs>
        <w:spacing w:line="360" w:lineRule="auto"/>
        <w:jc w:val="both"/>
        <w:rPr>
          <w:bCs/>
          <w:i/>
          <w:sz w:val="23"/>
          <w:szCs w:val="23"/>
        </w:rPr>
      </w:pPr>
      <w:r w:rsidRPr="007E349D">
        <w:rPr>
          <w:bCs/>
          <w:i/>
          <w:sz w:val="23"/>
          <w:szCs w:val="23"/>
        </w:rPr>
        <w:t>Kontrole interwencyjne</w:t>
      </w:r>
      <w:r w:rsidRPr="007E349D">
        <w:rPr>
          <w:bCs/>
          <w:i/>
          <w:sz w:val="23"/>
          <w:szCs w:val="23"/>
        </w:rPr>
        <w:tab/>
        <w:t>21</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 xml:space="preserve"> </w:t>
      </w:r>
      <w:r w:rsidR="00A933F1" w:rsidRPr="007E349D">
        <w:rPr>
          <w:bCs/>
          <w:i/>
          <w:sz w:val="23"/>
          <w:szCs w:val="23"/>
        </w:rPr>
        <w:t>Wykorzystanie wyników kontroli</w:t>
      </w:r>
      <w:r w:rsidR="00A933F1" w:rsidRPr="007E349D">
        <w:rPr>
          <w:bCs/>
          <w:i/>
          <w:sz w:val="23"/>
          <w:szCs w:val="23"/>
        </w:rPr>
        <w:tab/>
      </w:r>
      <w:r w:rsidR="00855341" w:rsidRPr="007E349D">
        <w:rPr>
          <w:bCs/>
          <w:i/>
          <w:sz w:val="23"/>
          <w:szCs w:val="23"/>
        </w:rPr>
        <w:t>21</w:t>
      </w:r>
    </w:p>
    <w:p w:rsidR="00A933F1" w:rsidRPr="007E349D" w:rsidRDefault="00A933F1" w:rsidP="00471DD5">
      <w:pPr>
        <w:tabs>
          <w:tab w:val="right" w:leader="dot" w:pos="8760"/>
        </w:tabs>
        <w:spacing w:line="360" w:lineRule="auto"/>
        <w:ind w:left="360"/>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Ochrona konsumenta i działalność edukacyjna</w:t>
      </w:r>
      <w:r w:rsidR="00DC5479" w:rsidRPr="007E349D">
        <w:rPr>
          <w:b/>
          <w:bCs/>
          <w:sz w:val="23"/>
          <w:szCs w:val="23"/>
        </w:rPr>
        <w:tab/>
      </w:r>
      <w:r w:rsidR="00855341" w:rsidRPr="007E349D">
        <w:rPr>
          <w:b/>
          <w:bCs/>
          <w:sz w:val="23"/>
          <w:szCs w:val="23"/>
        </w:rPr>
        <w:t>22</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Mediacje i poradnictwo konsumenckie</w:t>
      </w:r>
      <w:r w:rsidRPr="007E349D">
        <w:rPr>
          <w:bCs/>
          <w:i/>
          <w:sz w:val="23"/>
          <w:szCs w:val="23"/>
        </w:rPr>
        <w:tab/>
      </w:r>
      <w:r w:rsidR="00855341" w:rsidRPr="007E349D">
        <w:rPr>
          <w:bCs/>
          <w:i/>
          <w:sz w:val="23"/>
          <w:szCs w:val="23"/>
        </w:rPr>
        <w:t>22</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Stały Polubowny Sąd Konsumencki</w:t>
      </w:r>
      <w:r w:rsidRPr="007E349D">
        <w:rPr>
          <w:bCs/>
          <w:i/>
          <w:sz w:val="23"/>
          <w:szCs w:val="23"/>
        </w:rPr>
        <w:tab/>
      </w:r>
      <w:r w:rsidR="00855341" w:rsidRPr="007E349D">
        <w:rPr>
          <w:bCs/>
          <w:i/>
          <w:sz w:val="23"/>
          <w:szCs w:val="23"/>
        </w:rPr>
        <w:t>23</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Publikacje w mediach informacji dotyczących wyników kontroli oraz praw konsumenta</w:t>
      </w:r>
      <w:r w:rsidRPr="007E349D">
        <w:rPr>
          <w:bCs/>
          <w:i/>
          <w:sz w:val="23"/>
          <w:szCs w:val="23"/>
        </w:rPr>
        <w:tab/>
      </w:r>
    </w:p>
    <w:p w:rsidR="005D5F77" w:rsidRPr="007E349D" w:rsidRDefault="00855341" w:rsidP="005D5F77">
      <w:pPr>
        <w:tabs>
          <w:tab w:val="right" w:leader="dot" w:pos="8760"/>
        </w:tabs>
        <w:spacing w:line="360" w:lineRule="auto"/>
        <w:ind w:left="360"/>
        <w:jc w:val="both"/>
        <w:rPr>
          <w:bCs/>
          <w:i/>
          <w:sz w:val="23"/>
          <w:szCs w:val="23"/>
        </w:rPr>
      </w:pPr>
      <w:r w:rsidRPr="007E349D">
        <w:rPr>
          <w:bCs/>
          <w:i/>
          <w:sz w:val="23"/>
          <w:szCs w:val="23"/>
        </w:rPr>
        <w:tab/>
        <w:t>23</w:t>
      </w:r>
    </w:p>
    <w:p w:rsidR="00BE3225" w:rsidRPr="007E349D" w:rsidRDefault="00BE3225" w:rsidP="00471DD5">
      <w:pPr>
        <w:tabs>
          <w:tab w:val="right" w:leader="dot" w:pos="8760"/>
        </w:tabs>
        <w:spacing w:line="360" w:lineRule="auto"/>
        <w:ind w:left="360"/>
        <w:jc w:val="both"/>
        <w:rPr>
          <w:bCs/>
          <w:i/>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Działania podejmowane dla zapewnienia skutecznego i zgodnego z prawem funkcjonowania Inspektoratu</w:t>
      </w:r>
      <w:r w:rsidRPr="007E349D">
        <w:rPr>
          <w:b/>
          <w:bCs/>
          <w:sz w:val="23"/>
          <w:szCs w:val="23"/>
        </w:rPr>
        <w:tab/>
      </w:r>
      <w:r w:rsidR="00855341" w:rsidRPr="007E349D">
        <w:rPr>
          <w:b/>
          <w:bCs/>
          <w:sz w:val="23"/>
          <w:szCs w:val="23"/>
        </w:rPr>
        <w:t>24</w:t>
      </w:r>
    </w:p>
    <w:p w:rsidR="00393A23" w:rsidRPr="007E349D" w:rsidRDefault="00393A23" w:rsidP="00393A23">
      <w:pPr>
        <w:tabs>
          <w:tab w:val="right" w:leader="dot" w:pos="8760"/>
        </w:tabs>
        <w:spacing w:line="360" w:lineRule="auto"/>
        <w:ind w:left="360"/>
        <w:jc w:val="both"/>
        <w:rPr>
          <w:b/>
          <w:bCs/>
          <w:sz w:val="23"/>
          <w:szCs w:val="23"/>
        </w:rPr>
      </w:pPr>
    </w:p>
    <w:p w:rsidR="00FD4632" w:rsidRPr="007E349D" w:rsidRDefault="00FD4632" w:rsidP="00FD4632">
      <w:pPr>
        <w:tabs>
          <w:tab w:val="right" w:leader="dot" w:pos="8760"/>
        </w:tabs>
        <w:spacing w:line="360" w:lineRule="auto"/>
        <w:ind w:left="360"/>
        <w:jc w:val="both"/>
        <w:rPr>
          <w:bCs/>
          <w:i/>
          <w:sz w:val="23"/>
          <w:szCs w:val="23"/>
        </w:rPr>
      </w:pPr>
      <w:r w:rsidRPr="007E349D">
        <w:rPr>
          <w:bCs/>
          <w:i/>
          <w:sz w:val="23"/>
          <w:szCs w:val="23"/>
        </w:rPr>
        <w:t xml:space="preserve">Tabela nr 1. </w:t>
      </w:r>
      <w:r w:rsidRPr="007E349D">
        <w:rPr>
          <w:i/>
          <w:sz w:val="23"/>
          <w:szCs w:val="23"/>
        </w:rPr>
        <w:t xml:space="preserve">Ogólne zestawienie wyników działalności kontrolnej Wojewódzkiego Inspektoratu Inspekcji </w:t>
      </w:r>
      <w:r w:rsidR="005D5F77" w:rsidRPr="007E349D">
        <w:rPr>
          <w:i/>
          <w:sz w:val="23"/>
          <w:szCs w:val="23"/>
        </w:rPr>
        <w:t>Handlowej w Białymstoku w 20</w:t>
      </w:r>
      <w:r w:rsidR="00094F5C" w:rsidRPr="007E349D">
        <w:rPr>
          <w:i/>
          <w:sz w:val="23"/>
          <w:szCs w:val="23"/>
        </w:rPr>
        <w:t>1</w:t>
      </w:r>
      <w:r w:rsidR="0055053F" w:rsidRPr="007E349D">
        <w:rPr>
          <w:i/>
          <w:sz w:val="23"/>
          <w:szCs w:val="23"/>
        </w:rPr>
        <w:t>6</w:t>
      </w:r>
      <w:r w:rsidR="00094F5C" w:rsidRPr="007E349D">
        <w:rPr>
          <w:i/>
          <w:sz w:val="23"/>
          <w:szCs w:val="23"/>
        </w:rPr>
        <w:t xml:space="preserve"> </w:t>
      </w:r>
      <w:r w:rsidRPr="007E349D">
        <w:rPr>
          <w:i/>
          <w:sz w:val="23"/>
          <w:szCs w:val="23"/>
        </w:rPr>
        <w:t>r.</w:t>
      </w:r>
      <w:r w:rsidR="004C6C8D" w:rsidRPr="007E349D">
        <w:rPr>
          <w:bCs/>
          <w:i/>
          <w:sz w:val="23"/>
          <w:szCs w:val="23"/>
        </w:rPr>
        <w:tab/>
      </w:r>
      <w:r w:rsidR="00855341" w:rsidRPr="007E349D">
        <w:rPr>
          <w:bCs/>
          <w:i/>
          <w:sz w:val="23"/>
          <w:szCs w:val="23"/>
        </w:rPr>
        <w:t>26</w:t>
      </w:r>
    </w:p>
    <w:p w:rsidR="00FD4632" w:rsidRPr="007E349D" w:rsidRDefault="00FD4632" w:rsidP="00FD4632">
      <w:pPr>
        <w:tabs>
          <w:tab w:val="right" w:leader="dot" w:pos="8760"/>
        </w:tabs>
        <w:spacing w:line="360" w:lineRule="auto"/>
        <w:ind w:left="360"/>
        <w:jc w:val="both"/>
        <w:rPr>
          <w:i/>
          <w:sz w:val="23"/>
          <w:szCs w:val="23"/>
        </w:rPr>
      </w:pPr>
      <w:r w:rsidRPr="007E349D">
        <w:rPr>
          <w:bCs/>
          <w:i/>
          <w:sz w:val="23"/>
          <w:szCs w:val="23"/>
        </w:rPr>
        <w:t>Tabela nr 2</w:t>
      </w:r>
      <w:r w:rsidRPr="007E349D">
        <w:rPr>
          <w:b/>
          <w:sz w:val="23"/>
          <w:szCs w:val="23"/>
        </w:rPr>
        <w:t xml:space="preserve">. </w:t>
      </w:r>
      <w:r w:rsidRPr="007E349D">
        <w:rPr>
          <w:i/>
          <w:sz w:val="23"/>
          <w:szCs w:val="23"/>
        </w:rPr>
        <w:t>Zestawienie liczbowe wykorzystania ustaleń kontroli przez Wojewódzki Inspektorat Inspekcji</w:t>
      </w:r>
      <w:r w:rsidR="005D5F77" w:rsidRPr="007E349D">
        <w:rPr>
          <w:i/>
          <w:sz w:val="23"/>
          <w:szCs w:val="23"/>
        </w:rPr>
        <w:t xml:space="preserve"> Handlowej w Białymstoku w  20</w:t>
      </w:r>
      <w:r w:rsidR="00374185" w:rsidRPr="007E349D">
        <w:rPr>
          <w:i/>
          <w:sz w:val="23"/>
          <w:szCs w:val="23"/>
        </w:rPr>
        <w:t>1</w:t>
      </w:r>
      <w:r w:rsidR="0055053F" w:rsidRPr="007E349D">
        <w:rPr>
          <w:i/>
          <w:sz w:val="23"/>
          <w:szCs w:val="23"/>
        </w:rPr>
        <w:t>6</w:t>
      </w:r>
      <w:r w:rsidR="00094F5C" w:rsidRPr="007E349D">
        <w:rPr>
          <w:i/>
          <w:sz w:val="23"/>
          <w:szCs w:val="23"/>
        </w:rPr>
        <w:t xml:space="preserve"> </w:t>
      </w:r>
      <w:r w:rsidRPr="007E349D">
        <w:rPr>
          <w:i/>
          <w:sz w:val="23"/>
          <w:szCs w:val="23"/>
        </w:rPr>
        <w:t>r.</w:t>
      </w:r>
      <w:r w:rsidRPr="007E349D">
        <w:rPr>
          <w:i/>
          <w:sz w:val="23"/>
          <w:szCs w:val="23"/>
        </w:rPr>
        <w:tab/>
      </w:r>
      <w:r w:rsidR="00855341" w:rsidRPr="007E349D">
        <w:rPr>
          <w:i/>
          <w:sz w:val="23"/>
          <w:szCs w:val="23"/>
        </w:rPr>
        <w:t>27</w:t>
      </w:r>
    </w:p>
    <w:p w:rsidR="00DC5479" w:rsidRPr="007E349D" w:rsidRDefault="00F238E9" w:rsidP="00FD4632">
      <w:pPr>
        <w:tabs>
          <w:tab w:val="right" w:leader="dot" w:pos="8760"/>
        </w:tabs>
        <w:spacing w:line="360" w:lineRule="auto"/>
        <w:ind w:left="360"/>
        <w:jc w:val="both"/>
        <w:rPr>
          <w:i/>
          <w:sz w:val="23"/>
          <w:szCs w:val="23"/>
        </w:rPr>
      </w:pPr>
      <w:r w:rsidRPr="007E349D">
        <w:rPr>
          <w:i/>
          <w:sz w:val="23"/>
          <w:szCs w:val="23"/>
        </w:rPr>
        <w:t>Tabela nr 3</w:t>
      </w:r>
      <w:r w:rsidR="00A20A95" w:rsidRPr="007E349D">
        <w:rPr>
          <w:i/>
          <w:sz w:val="23"/>
          <w:szCs w:val="23"/>
        </w:rPr>
        <w:t>.  Zestawienie informacji o nieprawidłowościach oraz wniosków o mediację zł</w:t>
      </w:r>
      <w:r w:rsidR="005D5F77" w:rsidRPr="007E349D">
        <w:rPr>
          <w:i/>
          <w:sz w:val="23"/>
          <w:szCs w:val="23"/>
        </w:rPr>
        <w:t>ożonych przez konsumentów w 201</w:t>
      </w:r>
      <w:r w:rsidR="0055053F" w:rsidRPr="007E349D">
        <w:rPr>
          <w:i/>
          <w:sz w:val="23"/>
          <w:szCs w:val="23"/>
        </w:rPr>
        <w:t>6</w:t>
      </w:r>
      <w:r w:rsidR="00094F5C" w:rsidRPr="007E349D">
        <w:rPr>
          <w:i/>
          <w:sz w:val="23"/>
          <w:szCs w:val="23"/>
        </w:rPr>
        <w:t xml:space="preserve"> </w:t>
      </w:r>
      <w:r w:rsidR="00A20A95" w:rsidRPr="007E349D">
        <w:rPr>
          <w:i/>
          <w:sz w:val="23"/>
          <w:szCs w:val="23"/>
        </w:rPr>
        <w:t>r.</w:t>
      </w:r>
      <w:r w:rsidR="00DC5479" w:rsidRPr="007E349D">
        <w:rPr>
          <w:i/>
          <w:sz w:val="23"/>
          <w:szCs w:val="23"/>
        </w:rPr>
        <w:tab/>
      </w:r>
      <w:r w:rsidR="00855341" w:rsidRPr="007E349D">
        <w:rPr>
          <w:i/>
          <w:sz w:val="23"/>
          <w:szCs w:val="23"/>
        </w:rPr>
        <w:t>28</w:t>
      </w:r>
    </w:p>
    <w:p w:rsidR="00247F3C" w:rsidRPr="007E349D" w:rsidRDefault="00247F3C" w:rsidP="00471DD5">
      <w:pPr>
        <w:spacing w:line="360" w:lineRule="auto"/>
        <w:jc w:val="center"/>
        <w:rPr>
          <w:b/>
          <w:bCs/>
          <w:sz w:val="35"/>
          <w:szCs w:val="35"/>
        </w:rPr>
      </w:pPr>
    </w:p>
    <w:p w:rsidR="009075F8" w:rsidRPr="007E349D" w:rsidRDefault="009075F8" w:rsidP="00471DD5">
      <w:pPr>
        <w:spacing w:line="360" w:lineRule="auto"/>
        <w:jc w:val="center"/>
        <w:rPr>
          <w:b/>
          <w:bCs/>
          <w:sz w:val="35"/>
          <w:szCs w:val="35"/>
        </w:rPr>
      </w:pPr>
    </w:p>
    <w:p w:rsidR="000A6068" w:rsidRPr="007E349D" w:rsidRDefault="000A6068"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500B39" w:rsidRPr="00621E42" w:rsidRDefault="00BE3225" w:rsidP="001C1DC2">
      <w:pPr>
        <w:numPr>
          <w:ilvl w:val="2"/>
          <w:numId w:val="1"/>
        </w:numPr>
        <w:rPr>
          <w:b/>
          <w:bCs/>
          <w:sz w:val="28"/>
          <w:szCs w:val="28"/>
        </w:rPr>
      </w:pPr>
      <w:r w:rsidRPr="00621E42">
        <w:rPr>
          <w:b/>
          <w:bCs/>
          <w:sz w:val="28"/>
          <w:szCs w:val="28"/>
        </w:rPr>
        <w:lastRenderedPageBreak/>
        <w:t>C</w:t>
      </w:r>
      <w:r w:rsidR="00370992" w:rsidRPr="00621E42">
        <w:rPr>
          <w:b/>
          <w:bCs/>
          <w:sz w:val="28"/>
          <w:szCs w:val="28"/>
        </w:rPr>
        <w:t xml:space="preserve">ele i zakres działalności </w:t>
      </w:r>
    </w:p>
    <w:p w:rsidR="0034753A" w:rsidRPr="00621E42" w:rsidRDefault="0034753A" w:rsidP="0034753A">
      <w:pPr>
        <w:ind w:firstLine="708"/>
        <w:jc w:val="both"/>
      </w:pPr>
    </w:p>
    <w:p w:rsidR="00851B20" w:rsidRPr="00621E42" w:rsidRDefault="00D57AEF" w:rsidP="00D57AEF">
      <w:pPr>
        <w:ind w:firstLine="708"/>
        <w:jc w:val="both"/>
      </w:pPr>
      <w:r w:rsidRPr="00621E42">
        <w:t>Celem działania Inspekcji Handlowej w 201</w:t>
      </w:r>
      <w:r w:rsidR="00621E42" w:rsidRPr="00621E42">
        <w:t>6</w:t>
      </w:r>
      <w:r w:rsidR="00220C2B" w:rsidRPr="00621E42">
        <w:t xml:space="preserve"> </w:t>
      </w:r>
      <w:r w:rsidRPr="00621E42">
        <w:t xml:space="preserve">r. było zapewnienie wysokiego poziomu ochrony interesów gospodarczych państwa, ochrony interesów konsumentów i skutecznego egzekwowania prawa konsumenckiego. </w:t>
      </w:r>
    </w:p>
    <w:p w:rsidR="00012AB6" w:rsidRPr="00621E42" w:rsidRDefault="00012AB6" w:rsidP="00D57AEF">
      <w:pPr>
        <w:ind w:firstLine="708"/>
        <w:jc w:val="both"/>
      </w:pPr>
    </w:p>
    <w:p w:rsidR="00851B20" w:rsidRPr="00621E42" w:rsidRDefault="00851B20" w:rsidP="00851B20">
      <w:pPr>
        <w:ind w:firstLine="708"/>
        <w:jc w:val="both"/>
      </w:pPr>
      <w:r w:rsidRPr="00621E42">
        <w:t xml:space="preserve">Realizacja tych założeń oparta została na zadaniach </w:t>
      </w:r>
      <w:r w:rsidR="0049422C" w:rsidRPr="00621E42">
        <w:t xml:space="preserve">zawartych w </w:t>
      </w:r>
      <w:r w:rsidRPr="00621E42">
        <w:t>rządowej</w:t>
      </w:r>
      <w:r w:rsidR="0049422C" w:rsidRPr="00621E42">
        <w:t xml:space="preserve"> Polityce</w:t>
      </w:r>
      <w:r w:rsidRPr="00621E42">
        <w:t xml:space="preserve"> konsumenckiej na lata 2014-18 warunkującej skuteczną ochronę interesów i bezpieczeństwa konsumentów. Polityka konsumencka wpisuje się jednocześnie w cele określone w Strategii Sprawne Państwo 2020</w:t>
      </w:r>
      <w:r w:rsidR="00012AB6" w:rsidRPr="00621E42">
        <w:t>.</w:t>
      </w:r>
    </w:p>
    <w:p w:rsidR="007D5410" w:rsidRPr="00621E42" w:rsidRDefault="007D5410" w:rsidP="007D5410">
      <w:pPr>
        <w:ind w:firstLine="708"/>
        <w:jc w:val="both"/>
      </w:pPr>
    </w:p>
    <w:p w:rsidR="007D5410" w:rsidRPr="00621E42" w:rsidRDefault="007D5410" w:rsidP="007D5410">
      <w:pPr>
        <w:ind w:firstLine="708"/>
        <w:jc w:val="both"/>
      </w:pPr>
      <w:r w:rsidRPr="00621E42">
        <w:t>Założenia te Wojewódzki Inspektorat realizował poprzez:</w:t>
      </w:r>
    </w:p>
    <w:p w:rsidR="00012AB6" w:rsidRPr="00621E42" w:rsidRDefault="00012AB6" w:rsidP="007D5410">
      <w:pPr>
        <w:ind w:firstLine="708"/>
        <w:jc w:val="both"/>
      </w:pPr>
    </w:p>
    <w:p w:rsidR="007D5410" w:rsidRPr="00621E42" w:rsidRDefault="007D5410" w:rsidP="004670DB">
      <w:pPr>
        <w:numPr>
          <w:ilvl w:val="0"/>
          <w:numId w:val="4"/>
        </w:numPr>
        <w:jc w:val="both"/>
      </w:pPr>
      <w:r w:rsidRPr="00621E42">
        <w:t>prowadzenie działalności kontrolnej w obszarach:</w:t>
      </w:r>
    </w:p>
    <w:p w:rsidR="007D5410" w:rsidRPr="00621E42" w:rsidRDefault="007D5410" w:rsidP="007D5410">
      <w:pPr>
        <w:ind w:left="1068" w:hanging="1068"/>
        <w:jc w:val="both"/>
      </w:pPr>
      <w:r w:rsidRPr="00621E42">
        <w:t>- nadzoru rynku,</w:t>
      </w:r>
    </w:p>
    <w:p w:rsidR="007D5410" w:rsidRPr="00621E42" w:rsidRDefault="007D5410" w:rsidP="007D5410">
      <w:pPr>
        <w:ind w:left="1068" w:hanging="1068"/>
        <w:jc w:val="both"/>
      </w:pPr>
      <w:r w:rsidRPr="00621E42">
        <w:t>- bezpieczeństwa produktów,</w:t>
      </w:r>
    </w:p>
    <w:p w:rsidR="007D5410" w:rsidRPr="00621E42" w:rsidRDefault="007D5410" w:rsidP="007D5410">
      <w:pPr>
        <w:ind w:left="1068" w:hanging="1068"/>
        <w:jc w:val="both"/>
      </w:pPr>
      <w:r w:rsidRPr="00621E42">
        <w:t>- paliw</w:t>
      </w:r>
      <w:r w:rsidR="00220C2B" w:rsidRPr="00621E42">
        <w:t>,</w:t>
      </w:r>
      <w:r w:rsidRPr="00621E42">
        <w:t xml:space="preserve"> w tym LPG,</w:t>
      </w:r>
    </w:p>
    <w:p w:rsidR="007D5410" w:rsidRPr="00621E42" w:rsidRDefault="007D5410" w:rsidP="007D5410">
      <w:pPr>
        <w:ind w:left="1068" w:hanging="1068"/>
        <w:jc w:val="both"/>
      </w:pPr>
      <w:r w:rsidRPr="00621E42">
        <w:t>- artykułów przemysłowych i usług,</w:t>
      </w:r>
    </w:p>
    <w:p w:rsidR="007D5410" w:rsidRPr="00621E42" w:rsidRDefault="007D5410" w:rsidP="007D5410">
      <w:pPr>
        <w:ind w:left="1068" w:hanging="1068"/>
        <w:jc w:val="both"/>
      </w:pPr>
      <w:r w:rsidRPr="00621E42">
        <w:t>- artykułów żywnościowych.</w:t>
      </w:r>
    </w:p>
    <w:p w:rsidR="007D5410" w:rsidRPr="00621E42" w:rsidRDefault="007D5410" w:rsidP="004670DB">
      <w:pPr>
        <w:numPr>
          <w:ilvl w:val="0"/>
          <w:numId w:val="4"/>
        </w:numPr>
        <w:jc w:val="both"/>
      </w:pPr>
      <w:r w:rsidRPr="00621E42">
        <w:t>udzielanie pomocy konsumentom w formie:</w:t>
      </w:r>
    </w:p>
    <w:p w:rsidR="007D5410" w:rsidRPr="00621E42" w:rsidRDefault="007D5410" w:rsidP="007D5410">
      <w:pPr>
        <w:jc w:val="both"/>
      </w:pPr>
      <w:r w:rsidRPr="00621E42">
        <w:t>- mediacji i poradnictwa konsumenckiego,</w:t>
      </w:r>
    </w:p>
    <w:p w:rsidR="007D5410" w:rsidRPr="00621E42" w:rsidRDefault="007D5410" w:rsidP="007D5410">
      <w:pPr>
        <w:jc w:val="both"/>
      </w:pPr>
      <w:r w:rsidRPr="00621E42">
        <w:t>- rozstrzygania sporów przez Stały Polubowny Sąd Konsumencki.</w:t>
      </w:r>
    </w:p>
    <w:p w:rsidR="007D5410" w:rsidRPr="00621E42" w:rsidRDefault="007D5410" w:rsidP="007D5410">
      <w:pPr>
        <w:ind w:firstLine="708"/>
        <w:jc w:val="both"/>
      </w:pPr>
    </w:p>
    <w:p w:rsidR="007D5410" w:rsidRPr="00621E42" w:rsidRDefault="007D5410" w:rsidP="007D5410">
      <w:pPr>
        <w:ind w:firstLine="708"/>
        <w:jc w:val="both"/>
      </w:pPr>
      <w:r w:rsidRPr="00621E42">
        <w:t xml:space="preserve">Kontrole prowadzone były w oparciu o plany pracy kontrolnej zatwierdzone przez Urząd Ochrony Konkurencji i Konsumentów. Plany określały ilość i tematykę kontroli w poszczególnych obszarach rynku. </w:t>
      </w:r>
    </w:p>
    <w:p w:rsidR="00E44968" w:rsidRPr="00621E42" w:rsidRDefault="00E44968" w:rsidP="00F84E4F">
      <w:pPr>
        <w:jc w:val="both"/>
      </w:pPr>
    </w:p>
    <w:p w:rsidR="00F84E4F" w:rsidRPr="00621E42" w:rsidRDefault="00F84E4F" w:rsidP="00F84E4F">
      <w:pPr>
        <w:ind w:firstLine="720"/>
        <w:jc w:val="both"/>
      </w:pPr>
      <w:r w:rsidRPr="00621E42">
        <w:t>Poza działaniami planowymi Inspektorat podejmował kontrole interwencyjne wynikające ze skar</w:t>
      </w:r>
      <w:r w:rsidR="00804FFF" w:rsidRPr="00621E42">
        <w:t>g</w:t>
      </w:r>
      <w:r w:rsidRPr="00621E42">
        <w:t xml:space="preserve"> i informacji od konsumentów, przedsiębiorców i innych organów.</w:t>
      </w:r>
    </w:p>
    <w:p w:rsidR="005B65F0" w:rsidRDefault="005B65F0" w:rsidP="009075F8">
      <w:pPr>
        <w:ind w:firstLine="708"/>
        <w:jc w:val="both"/>
        <w:rPr>
          <w:rFonts w:ascii="Palatino Linotype" w:hAnsi="Palatino Linotype" w:cs="Lucida Sans Unicode"/>
          <w:sz w:val="21"/>
          <w:szCs w:val="21"/>
        </w:rPr>
      </w:pPr>
    </w:p>
    <w:p w:rsidR="00C55E70" w:rsidRPr="00621E42" w:rsidRDefault="00C55E70" w:rsidP="009075F8">
      <w:pPr>
        <w:ind w:firstLine="708"/>
        <w:jc w:val="both"/>
        <w:rPr>
          <w:rFonts w:ascii="Palatino Linotype" w:hAnsi="Palatino Linotype" w:cs="Lucida Sans Unicode"/>
          <w:sz w:val="21"/>
          <w:szCs w:val="21"/>
        </w:rPr>
      </w:pPr>
    </w:p>
    <w:p w:rsidR="00500B39" w:rsidRDefault="00CF7D4B" w:rsidP="001C1DC2">
      <w:pPr>
        <w:pStyle w:val="Tekstpodstawowy"/>
        <w:numPr>
          <w:ilvl w:val="2"/>
          <w:numId w:val="1"/>
        </w:numPr>
        <w:tabs>
          <w:tab w:val="clear" w:pos="2700"/>
        </w:tabs>
        <w:ind w:left="0" w:firstLine="0"/>
        <w:jc w:val="center"/>
        <w:rPr>
          <w:b/>
          <w:sz w:val="28"/>
          <w:szCs w:val="28"/>
        </w:rPr>
      </w:pPr>
      <w:r w:rsidRPr="001A5835">
        <w:rPr>
          <w:b/>
          <w:sz w:val="28"/>
          <w:szCs w:val="28"/>
        </w:rPr>
        <w:t>Działalność kontrolna</w:t>
      </w:r>
    </w:p>
    <w:p w:rsidR="00C55E70" w:rsidRPr="001A5835" w:rsidRDefault="00C55E70" w:rsidP="00C55E70">
      <w:pPr>
        <w:pStyle w:val="Tekstpodstawowy"/>
        <w:rPr>
          <w:b/>
          <w:sz w:val="28"/>
          <w:szCs w:val="28"/>
        </w:rPr>
      </w:pPr>
    </w:p>
    <w:p w:rsidR="00314466" w:rsidRPr="001A5835" w:rsidRDefault="00001E96" w:rsidP="00836E28">
      <w:pPr>
        <w:pStyle w:val="Tekstpodstawowy"/>
      </w:pPr>
      <w:r w:rsidRPr="001A5835">
        <w:t xml:space="preserve"> </w:t>
      </w:r>
      <w:r w:rsidRPr="001A5835">
        <w:tab/>
      </w:r>
      <w:r w:rsidR="00314466" w:rsidRPr="001A5835">
        <w:t xml:space="preserve">Wojewódzki Inspektorat Inspekcji Handlowej w Białymstoku przeprowadził </w:t>
      </w:r>
      <w:r w:rsidR="003F2A43" w:rsidRPr="001A5835">
        <w:rPr>
          <w:b/>
          <w:bCs/>
        </w:rPr>
        <w:t>1</w:t>
      </w:r>
      <w:r w:rsidR="00C505D3" w:rsidRPr="001A5835">
        <w:rPr>
          <w:b/>
          <w:bCs/>
        </w:rPr>
        <w:t>281</w:t>
      </w:r>
      <w:r w:rsidR="00314466" w:rsidRPr="001A5835">
        <w:rPr>
          <w:b/>
          <w:bCs/>
        </w:rPr>
        <w:t xml:space="preserve"> </w:t>
      </w:r>
      <w:r w:rsidR="00314466" w:rsidRPr="001A5835">
        <w:t>kontrol</w:t>
      </w:r>
      <w:r w:rsidR="00C55E70">
        <w:t>i</w:t>
      </w:r>
      <w:r w:rsidR="000F1B01" w:rsidRPr="001A5835">
        <w:t xml:space="preserve"> w </w:t>
      </w:r>
      <w:r w:rsidR="004D5578" w:rsidRPr="001A5835">
        <w:t xml:space="preserve">tym </w:t>
      </w:r>
      <w:r w:rsidR="00851ABA" w:rsidRPr="001A5835">
        <w:t>Wydział Kontroli Artykułów Żywnościowych i Usług (ŻG) –</w:t>
      </w:r>
      <w:r w:rsidR="00C505D3" w:rsidRPr="001A5835">
        <w:t>380</w:t>
      </w:r>
      <w:r w:rsidR="00851ABA" w:rsidRPr="001A5835">
        <w:t xml:space="preserve">, Wydział Kontroli Artykułów </w:t>
      </w:r>
      <w:r w:rsidR="00CF6E0A" w:rsidRPr="001A5835">
        <w:t xml:space="preserve">Przemysłowych i Usług (PU) – </w:t>
      </w:r>
      <w:r w:rsidR="00C505D3" w:rsidRPr="001A5835">
        <w:t>318</w:t>
      </w:r>
      <w:r w:rsidR="00851ABA" w:rsidRPr="001A5835">
        <w:t xml:space="preserve">, </w:t>
      </w:r>
      <w:r w:rsidR="004D5578" w:rsidRPr="001A5835">
        <w:t>Delegatura w Suwałkach</w:t>
      </w:r>
      <w:r w:rsidR="008E631D" w:rsidRPr="001A5835">
        <w:t xml:space="preserve"> (DS</w:t>
      </w:r>
      <w:r w:rsidR="00A20A95" w:rsidRPr="001A5835">
        <w:t>)</w:t>
      </w:r>
      <w:r w:rsidR="008C4D97" w:rsidRPr="001A5835">
        <w:t xml:space="preserve"> –</w:t>
      </w:r>
      <w:r w:rsidR="00CF6E0A" w:rsidRPr="001A5835">
        <w:t xml:space="preserve"> 3</w:t>
      </w:r>
      <w:r w:rsidR="00C505D3" w:rsidRPr="001A5835">
        <w:t>03</w:t>
      </w:r>
      <w:r w:rsidR="004D5578" w:rsidRPr="001A5835">
        <w:t>, Delegatura w Łomży</w:t>
      </w:r>
      <w:r w:rsidR="00A20A95" w:rsidRPr="001A5835">
        <w:t xml:space="preserve"> (DŁ) </w:t>
      </w:r>
      <w:r w:rsidR="008C4D97" w:rsidRPr="001A5835">
        <w:t xml:space="preserve">– </w:t>
      </w:r>
      <w:r w:rsidR="00C505D3" w:rsidRPr="001A5835">
        <w:t>280</w:t>
      </w:r>
      <w:r w:rsidR="008759C5" w:rsidRPr="001A5835">
        <w:t>.</w:t>
      </w:r>
    </w:p>
    <w:p w:rsidR="00154006" w:rsidRPr="001A5835" w:rsidRDefault="00154006" w:rsidP="00851ABA">
      <w:pPr>
        <w:pStyle w:val="Tekstpodstawowy"/>
        <w:ind w:firstLine="709"/>
        <w:rPr>
          <w:rFonts w:ascii="Palatino Linotype" w:hAnsi="Palatino Linotype"/>
          <w:sz w:val="22"/>
          <w:szCs w:val="22"/>
        </w:rPr>
      </w:pPr>
    </w:p>
    <w:p w:rsidR="00012AB6" w:rsidRPr="001A5835" w:rsidRDefault="00C46891" w:rsidP="001B44F8">
      <w:pPr>
        <w:pStyle w:val="Tekstpodstawowy"/>
        <w:jc w:val="left"/>
        <w:rPr>
          <w:rFonts w:ascii="Palatino Linotype" w:hAnsi="Palatino Linotype"/>
          <w:sz w:val="20"/>
          <w:szCs w:val="20"/>
        </w:rPr>
      </w:pPr>
      <w:r w:rsidRPr="001A5835">
        <w:rPr>
          <w:rFonts w:ascii="Palatino Linotype" w:hAnsi="Palatino Linotype"/>
          <w:sz w:val="16"/>
          <w:szCs w:val="16"/>
        </w:rPr>
        <w:t xml:space="preserve">Rys. 1. </w:t>
      </w:r>
      <w:r w:rsidR="00BF15EB" w:rsidRPr="001A5835">
        <w:rPr>
          <w:rFonts w:ascii="Palatino Linotype" w:hAnsi="Palatino Linotype"/>
          <w:sz w:val="16"/>
          <w:szCs w:val="16"/>
        </w:rPr>
        <w:t xml:space="preserve">Liczba kontroli </w:t>
      </w:r>
      <w:r w:rsidRPr="001A5835">
        <w:rPr>
          <w:rFonts w:ascii="Palatino Linotype" w:hAnsi="Palatino Linotype"/>
          <w:sz w:val="16"/>
          <w:szCs w:val="16"/>
        </w:rPr>
        <w:t xml:space="preserve">w </w:t>
      </w:r>
      <w:r w:rsidR="00C505D3" w:rsidRPr="001A5835">
        <w:rPr>
          <w:rFonts w:ascii="Palatino Linotype" w:hAnsi="Palatino Linotype"/>
          <w:sz w:val="16"/>
          <w:szCs w:val="16"/>
        </w:rPr>
        <w:t xml:space="preserve"> latach 2015.- 2016</w:t>
      </w:r>
      <w:r w:rsidRPr="001A5835">
        <w:rPr>
          <w:rFonts w:ascii="Palatino Linotype" w:hAnsi="Palatino Linotype"/>
          <w:sz w:val="16"/>
          <w:szCs w:val="16"/>
        </w:rPr>
        <w:t>w podziale na komórki.</w:t>
      </w:r>
    </w:p>
    <w:p w:rsidR="00876033" w:rsidRPr="001B070F" w:rsidRDefault="002C38C0" w:rsidP="00C55E70">
      <w:pPr>
        <w:tabs>
          <w:tab w:val="left" w:pos="426"/>
        </w:tabs>
        <w:ind w:firstLine="426"/>
        <w:jc w:val="center"/>
        <w:rPr>
          <w:szCs w:val="21"/>
        </w:rPr>
      </w:pPr>
      <w:r>
        <w:rPr>
          <w:noProof/>
        </w:rPr>
        <w:drawing>
          <wp:inline distT="0" distB="0" distL="0" distR="0" wp14:anchorId="557A028C" wp14:editId="29D33ED7">
            <wp:extent cx="4572000" cy="2087593"/>
            <wp:effectExtent l="0" t="0" r="19050" b="2730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992" w:rsidRPr="001B070F" w:rsidRDefault="00370992" w:rsidP="0034753A">
      <w:pPr>
        <w:jc w:val="center"/>
        <w:rPr>
          <w:sz w:val="21"/>
          <w:szCs w:val="21"/>
        </w:rPr>
      </w:pPr>
    </w:p>
    <w:p w:rsidR="00836E28" w:rsidRDefault="00836E28" w:rsidP="00DA0995">
      <w:pPr>
        <w:ind w:firstLine="840"/>
        <w:jc w:val="both"/>
      </w:pPr>
      <w:r w:rsidRPr="001B070F">
        <w:lastRenderedPageBreak/>
        <w:t>Podobnie jak w latach ub</w:t>
      </w:r>
      <w:r w:rsidR="001A5835" w:rsidRPr="001B070F">
        <w:t>iegłych większość kontroli (928</w:t>
      </w:r>
      <w:r w:rsidRPr="001B070F">
        <w:t xml:space="preserve">) przeprowadzona została w placówkach detalicznych. </w:t>
      </w:r>
    </w:p>
    <w:p w:rsidR="00C55E70" w:rsidRPr="001860FB" w:rsidRDefault="00C55E70" w:rsidP="00DA0995">
      <w:pPr>
        <w:ind w:firstLine="840"/>
        <w:jc w:val="both"/>
        <w:rPr>
          <w:sz w:val="16"/>
          <w:szCs w:val="16"/>
        </w:rPr>
      </w:pPr>
    </w:p>
    <w:p w:rsidR="00836E28" w:rsidRPr="001B070F" w:rsidRDefault="00C46891" w:rsidP="00BF15EB">
      <w:pPr>
        <w:jc w:val="both"/>
        <w:rPr>
          <w:rFonts w:ascii="Palatino Linotype" w:hAnsi="Palatino Linotype"/>
          <w:sz w:val="22"/>
          <w:szCs w:val="22"/>
        </w:rPr>
      </w:pPr>
      <w:r w:rsidRPr="001B070F">
        <w:rPr>
          <w:rFonts w:ascii="Palatino Linotype" w:hAnsi="Palatino Linotype"/>
          <w:sz w:val="16"/>
          <w:szCs w:val="16"/>
        </w:rPr>
        <w:t xml:space="preserve">Rys. 2. </w:t>
      </w:r>
      <w:r w:rsidR="00BF15EB" w:rsidRPr="001B070F">
        <w:rPr>
          <w:rFonts w:ascii="Palatino Linotype" w:hAnsi="Palatino Linotype"/>
          <w:sz w:val="16"/>
          <w:szCs w:val="16"/>
        </w:rPr>
        <w:t>Liczba kontrolowanych placówek w podziale na rodzaj prowadzonej działalności.</w:t>
      </w:r>
    </w:p>
    <w:p w:rsidR="00836E28" w:rsidRPr="001B070F" w:rsidRDefault="001B070F" w:rsidP="00DA0995">
      <w:pPr>
        <w:ind w:firstLine="840"/>
        <w:jc w:val="both"/>
        <w:rPr>
          <w:rFonts w:ascii="Palatino Linotype" w:hAnsi="Palatino Linotype"/>
          <w:sz w:val="22"/>
          <w:szCs w:val="22"/>
        </w:rPr>
      </w:pPr>
      <w:r w:rsidRPr="001B070F">
        <w:rPr>
          <w:noProof/>
        </w:rPr>
        <w:drawing>
          <wp:inline distT="0" distB="0" distL="0" distR="0" wp14:anchorId="435FDBC7" wp14:editId="4F7F471F">
            <wp:extent cx="4839419" cy="2380890"/>
            <wp:effectExtent l="0" t="0" r="18415" b="1968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70F" w:rsidRPr="001860FB" w:rsidRDefault="001B070F" w:rsidP="00DA0995">
      <w:pPr>
        <w:ind w:firstLine="840"/>
        <w:jc w:val="both"/>
        <w:rPr>
          <w:sz w:val="16"/>
          <w:szCs w:val="16"/>
        </w:rPr>
      </w:pPr>
    </w:p>
    <w:p w:rsidR="002117A0" w:rsidRPr="001B070F" w:rsidRDefault="002117A0" w:rsidP="002117A0">
      <w:pPr>
        <w:jc w:val="both"/>
      </w:pPr>
      <w:r>
        <w:rPr>
          <w:rFonts w:ascii="Palatino Linotype" w:hAnsi="Palatino Linotype"/>
          <w:sz w:val="16"/>
          <w:szCs w:val="16"/>
        </w:rPr>
        <w:t>Rys. 3</w:t>
      </w:r>
      <w:r w:rsidRPr="001B070F">
        <w:rPr>
          <w:rFonts w:ascii="Palatino Linotype" w:hAnsi="Palatino Linotype"/>
          <w:sz w:val="16"/>
          <w:szCs w:val="16"/>
        </w:rPr>
        <w:t xml:space="preserve">. Liczba kontrolowanych placówek w podziale na </w:t>
      </w:r>
      <w:r>
        <w:rPr>
          <w:rFonts w:ascii="Palatino Linotype" w:hAnsi="Palatino Linotype"/>
          <w:sz w:val="16"/>
          <w:szCs w:val="16"/>
        </w:rPr>
        <w:t>segmenty kontroli w latach 2015-2016.</w:t>
      </w:r>
    </w:p>
    <w:p w:rsidR="001B070F" w:rsidRPr="001B070F" w:rsidRDefault="002C38C0" w:rsidP="00DA0995">
      <w:pPr>
        <w:ind w:firstLine="840"/>
        <w:jc w:val="both"/>
      </w:pPr>
      <w:r>
        <w:rPr>
          <w:noProof/>
        </w:rPr>
        <w:drawing>
          <wp:inline distT="0" distB="0" distL="0" distR="0" wp14:anchorId="34EF272E" wp14:editId="1757C04E">
            <wp:extent cx="4839419" cy="2475781"/>
            <wp:effectExtent l="0" t="0" r="18415" b="2032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70F" w:rsidRPr="001B070F" w:rsidRDefault="002C38C0" w:rsidP="00DA0995">
      <w:pPr>
        <w:ind w:firstLine="840"/>
        <w:jc w:val="both"/>
      </w:pPr>
      <w:r>
        <w:rPr>
          <w:noProof/>
        </w:rPr>
        <w:drawing>
          <wp:inline distT="0" distB="0" distL="0" distR="0" wp14:anchorId="457EBB65" wp14:editId="29E7F07A">
            <wp:extent cx="4839419" cy="2311879"/>
            <wp:effectExtent l="0" t="0" r="18415" b="127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70F" w:rsidRPr="001860FB" w:rsidRDefault="001B070F" w:rsidP="00DA0995">
      <w:pPr>
        <w:ind w:firstLine="840"/>
        <w:jc w:val="both"/>
        <w:rPr>
          <w:sz w:val="16"/>
          <w:szCs w:val="16"/>
        </w:rPr>
      </w:pPr>
    </w:p>
    <w:p w:rsidR="00BB46FC" w:rsidRPr="001B070F" w:rsidRDefault="00E44968" w:rsidP="00DA0995">
      <w:pPr>
        <w:ind w:firstLine="840"/>
        <w:jc w:val="both"/>
      </w:pPr>
      <w:r w:rsidRPr="001B070F">
        <w:t xml:space="preserve">Działalność </w:t>
      </w:r>
      <w:r w:rsidR="000F1B01" w:rsidRPr="001B070F">
        <w:t>ob</w:t>
      </w:r>
      <w:r w:rsidR="002556E0" w:rsidRPr="001B070F">
        <w:t>ejmowała kontrole realizowane według</w:t>
      </w:r>
      <w:r w:rsidR="000F1B01" w:rsidRPr="001B070F">
        <w:t xml:space="preserve"> planu </w:t>
      </w:r>
      <w:r w:rsidR="00A20A95" w:rsidRPr="001B070F">
        <w:t>Urzędu Ochrony Konkurencji i Konsumentów</w:t>
      </w:r>
      <w:r w:rsidR="000F1B01" w:rsidRPr="001B070F">
        <w:t>, interwencyjne oraz własne.</w:t>
      </w:r>
    </w:p>
    <w:p w:rsidR="00D536DD" w:rsidRDefault="00964779" w:rsidP="00D536DD">
      <w:pPr>
        <w:ind w:firstLine="708"/>
        <w:jc w:val="both"/>
      </w:pPr>
      <w:r w:rsidRPr="001B070F">
        <w:t xml:space="preserve">Kontrole </w:t>
      </w:r>
      <w:r w:rsidR="00AA5C77" w:rsidRPr="001B070F">
        <w:t>ukierunkowane były głównie na wykrycie i wyeliminowanie</w:t>
      </w:r>
      <w:r w:rsidRPr="001B070F">
        <w:t xml:space="preserve"> będących w obrocie handlowym produktów</w:t>
      </w:r>
      <w:r w:rsidR="00AA5C77" w:rsidRPr="001B070F">
        <w:t>, mogących stanowić zagrożenie dla bezpieczeństwa konsumentów, a mianowi</w:t>
      </w:r>
      <w:r w:rsidR="001A2473" w:rsidRPr="001B070F">
        <w:t xml:space="preserve">cie: </w:t>
      </w:r>
      <w:r w:rsidR="00AA5C77" w:rsidRPr="001B070F">
        <w:t>wyrobów przeterminowanych, wykazujących cechy zepsucia lub nieświeżości, niewła</w:t>
      </w:r>
      <w:r w:rsidR="001A2473" w:rsidRPr="001B070F">
        <w:t xml:space="preserve">ściwie oznaczonych, </w:t>
      </w:r>
      <w:r w:rsidR="00AA5C77" w:rsidRPr="001B070F">
        <w:t xml:space="preserve">towarów niebezpiecznych lub o niewłaściwej </w:t>
      </w:r>
      <w:r w:rsidR="00AA5C77" w:rsidRPr="001B070F">
        <w:lastRenderedPageBreak/>
        <w:t>jakości (nie odpowiadających normom lub nie posiadających stosownych certyfikatów i atestów).</w:t>
      </w:r>
      <w:r w:rsidR="00D536DD" w:rsidRPr="001B070F">
        <w:t xml:space="preserve"> </w:t>
      </w:r>
    </w:p>
    <w:p w:rsidR="002117A0" w:rsidRDefault="002117A0" w:rsidP="002117A0">
      <w:pPr>
        <w:jc w:val="both"/>
      </w:pPr>
    </w:p>
    <w:p w:rsidR="003925A3" w:rsidRDefault="002117A0" w:rsidP="002117A0">
      <w:pPr>
        <w:jc w:val="both"/>
      </w:pPr>
      <w:r>
        <w:rPr>
          <w:rFonts w:ascii="Palatino Linotype" w:hAnsi="Palatino Linotype"/>
          <w:sz w:val="16"/>
          <w:szCs w:val="16"/>
        </w:rPr>
        <w:t>Rys. 4</w:t>
      </w:r>
      <w:r w:rsidRPr="001B070F">
        <w:rPr>
          <w:rFonts w:ascii="Palatino Linotype" w:hAnsi="Palatino Linotype"/>
          <w:sz w:val="16"/>
          <w:szCs w:val="16"/>
        </w:rPr>
        <w:t>. Liczba kontrolowanych placówek w</w:t>
      </w:r>
      <w:r>
        <w:rPr>
          <w:rFonts w:ascii="Palatino Linotype" w:hAnsi="Palatino Linotype"/>
          <w:sz w:val="16"/>
          <w:szCs w:val="16"/>
        </w:rPr>
        <w:t xml:space="preserve"> latach 201</w:t>
      </w:r>
      <w:r w:rsidR="00F00BC3">
        <w:rPr>
          <w:rFonts w:ascii="Palatino Linotype" w:hAnsi="Palatino Linotype"/>
          <w:sz w:val="16"/>
          <w:szCs w:val="16"/>
        </w:rPr>
        <w:t>5</w:t>
      </w:r>
      <w:bookmarkStart w:id="0" w:name="_GoBack"/>
      <w:bookmarkEnd w:id="0"/>
      <w:r>
        <w:rPr>
          <w:rFonts w:ascii="Palatino Linotype" w:hAnsi="Palatino Linotype"/>
          <w:sz w:val="16"/>
          <w:szCs w:val="16"/>
        </w:rPr>
        <w:t>-2016 w</w:t>
      </w:r>
      <w:r w:rsidRPr="001B070F">
        <w:rPr>
          <w:rFonts w:ascii="Palatino Linotype" w:hAnsi="Palatino Linotype"/>
          <w:sz w:val="16"/>
          <w:szCs w:val="16"/>
        </w:rPr>
        <w:t xml:space="preserve"> podziale </w:t>
      </w:r>
      <w:r>
        <w:rPr>
          <w:rFonts w:ascii="Palatino Linotype" w:hAnsi="Palatino Linotype"/>
          <w:sz w:val="16"/>
          <w:szCs w:val="16"/>
        </w:rPr>
        <w:t>na kontrole planowe, własne i interwencyjne.</w:t>
      </w:r>
    </w:p>
    <w:p w:rsidR="003925A3" w:rsidRPr="00855341" w:rsidRDefault="002C38C0" w:rsidP="002117A0">
      <w:pPr>
        <w:jc w:val="both"/>
      </w:pPr>
      <w:r>
        <w:rPr>
          <w:noProof/>
        </w:rPr>
        <w:drawing>
          <wp:inline distT="0" distB="0" distL="0" distR="0" wp14:anchorId="0BB7479F" wp14:editId="61EFBAB7">
            <wp:extent cx="5357004" cy="2165231"/>
            <wp:effectExtent l="0" t="0" r="15240" b="2603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36DD" w:rsidRPr="00855341" w:rsidRDefault="00D536DD" w:rsidP="00D536DD">
      <w:pPr>
        <w:ind w:firstLine="708"/>
        <w:jc w:val="both"/>
        <w:rPr>
          <w:i/>
        </w:rPr>
      </w:pPr>
      <w:r w:rsidRPr="00855341">
        <w:rPr>
          <w:i/>
        </w:rPr>
        <w:t xml:space="preserve">Ogólne zestawienie wyników działalności kontrolnej </w:t>
      </w:r>
      <w:r w:rsidR="001B070F" w:rsidRPr="00855341">
        <w:rPr>
          <w:i/>
        </w:rPr>
        <w:t>Inspektoratu w 2016</w:t>
      </w:r>
      <w:r w:rsidRPr="00855341">
        <w:rPr>
          <w:i/>
        </w:rPr>
        <w:t>r. zawiera</w:t>
      </w:r>
      <w:r w:rsidR="00855341" w:rsidRPr="00855341">
        <w:rPr>
          <w:i/>
        </w:rPr>
        <w:t xml:space="preserve"> Tab. 1 znajdująca się na str. 26</w:t>
      </w:r>
      <w:r w:rsidRPr="00855341">
        <w:rPr>
          <w:i/>
        </w:rPr>
        <w:t xml:space="preserve"> Sprawozdania.</w:t>
      </w:r>
    </w:p>
    <w:p w:rsidR="001B070F" w:rsidRPr="001860FB" w:rsidRDefault="001B070F" w:rsidP="00D536DD">
      <w:pPr>
        <w:ind w:firstLine="708"/>
        <w:jc w:val="both"/>
        <w:rPr>
          <w:i/>
        </w:rPr>
      </w:pPr>
    </w:p>
    <w:p w:rsidR="007E36E3" w:rsidRPr="007139EB" w:rsidRDefault="007E36E3" w:rsidP="004670DB">
      <w:pPr>
        <w:numPr>
          <w:ilvl w:val="1"/>
          <w:numId w:val="6"/>
        </w:numPr>
        <w:tabs>
          <w:tab w:val="clear" w:pos="1440"/>
          <w:tab w:val="num" w:pos="480"/>
        </w:tabs>
        <w:ind w:left="480" w:hanging="480"/>
        <w:jc w:val="both"/>
        <w:rPr>
          <w:b/>
        </w:rPr>
      </w:pPr>
      <w:r w:rsidRPr="007139EB">
        <w:rPr>
          <w:b/>
        </w:rPr>
        <w:t>Nadzór rynku</w:t>
      </w:r>
    </w:p>
    <w:p w:rsidR="00D83408" w:rsidRPr="007139EB" w:rsidRDefault="00D83408" w:rsidP="007E36E3">
      <w:pPr>
        <w:ind w:firstLine="708"/>
        <w:jc w:val="both"/>
        <w:rPr>
          <w:rFonts w:ascii="Palatino Linotype" w:hAnsi="Palatino Linotype"/>
        </w:rPr>
      </w:pPr>
    </w:p>
    <w:p w:rsidR="0066594D" w:rsidRPr="007139EB" w:rsidRDefault="0066594D" w:rsidP="0066594D">
      <w:pPr>
        <w:widowControl w:val="0"/>
        <w:tabs>
          <w:tab w:val="left" w:pos="1980"/>
        </w:tabs>
        <w:suppressAutoHyphens/>
        <w:autoSpaceDE w:val="0"/>
        <w:ind w:firstLine="720"/>
        <w:jc w:val="both"/>
        <w:rPr>
          <w:rFonts w:eastAsia="Times New Roman"/>
        </w:rPr>
      </w:pPr>
      <w:r w:rsidRPr="007139EB">
        <w:rPr>
          <w:rFonts w:eastAsia="Times New Roman"/>
        </w:rPr>
        <w:t>Przeprowadzając kontrole z zakresu nadzoru rynku Inspekcja Handlowa chroni zarówno konsumentów, jak i przedsiębiorców, wycofując z rynku produkty nie spełniające zasadniczych i innych wymagań, a tym samym przyczynia się do eliminowania zjawisk związanych z patologią działalności gospodarczej.</w:t>
      </w:r>
    </w:p>
    <w:p w:rsidR="0066594D" w:rsidRPr="007139EB" w:rsidRDefault="0066594D" w:rsidP="0066594D">
      <w:pPr>
        <w:widowControl w:val="0"/>
        <w:tabs>
          <w:tab w:val="left" w:pos="1980"/>
        </w:tabs>
        <w:suppressAutoHyphens/>
        <w:autoSpaceDE w:val="0"/>
        <w:ind w:firstLine="720"/>
        <w:jc w:val="both"/>
        <w:rPr>
          <w:rFonts w:eastAsia="Times New Roman"/>
        </w:rPr>
      </w:pPr>
    </w:p>
    <w:p w:rsidR="007139EB" w:rsidRPr="007139EB" w:rsidRDefault="007139EB" w:rsidP="007139EB">
      <w:pPr>
        <w:widowControl w:val="0"/>
        <w:tabs>
          <w:tab w:val="left" w:pos="1980"/>
        </w:tabs>
        <w:suppressAutoHyphens/>
        <w:autoSpaceDE w:val="0"/>
        <w:jc w:val="both"/>
        <w:rPr>
          <w:rFonts w:eastAsia="Times New Roman"/>
        </w:rPr>
      </w:pPr>
      <w:r w:rsidRPr="007139EB">
        <w:rPr>
          <w:rFonts w:eastAsia="Times New Roman"/>
        </w:rPr>
        <w:t xml:space="preserve">W ramach </w:t>
      </w:r>
      <w:r w:rsidRPr="007139EB">
        <w:rPr>
          <w:rFonts w:eastAsia="Times New Roman"/>
          <w:b/>
        </w:rPr>
        <w:t>83</w:t>
      </w:r>
      <w:r w:rsidRPr="007139EB">
        <w:rPr>
          <w:rFonts w:eastAsia="Times New Roman"/>
        </w:rPr>
        <w:t xml:space="preserve"> kontroli przestrzegania ustawy o systemie oceny zgodności badano:</w:t>
      </w:r>
    </w:p>
    <w:p w:rsidR="007139EB" w:rsidRPr="007139EB" w:rsidRDefault="007139EB" w:rsidP="007139EB">
      <w:pPr>
        <w:widowControl w:val="0"/>
        <w:tabs>
          <w:tab w:val="left" w:pos="1980"/>
        </w:tabs>
        <w:suppressAutoHyphens/>
        <w:autoSpaceDE w:val="0"/>
        <w:ind w:firstLine="720"/>
        <w:jc w:val="both"/>
        <w:rPr>
          <w:rFonts w:eastAsia="Times New Roman"/>
        </w:rPr>
      </w:pP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r w:rsidRPr="007139EB">
        <w:rPr>
          <w:rFonts w:eastAsia="Times New Roman"/>
        </w:rPr>
        <w:t xml:space="preserve">sprzęt elektryczny (przedłużacze zwijane,  węże  i girlandy świetlne, przenośne oprawy oświetleniowe, sprzęt oświetleniowy do użytkowania w łazienkach i kuchniach), </w:t>
      </w: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r w:rsidRPr="007139EB">
        <w:rPr>
          <w:rFonts w:eastAsia="Times New Roman"/>
        </w:rPr>
        <w:t>zabawki,</w:t>
      </w: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r w:rsidRPr="007139EB">
        <w:rPr>
          <w:rFonts w:eastAsia="HG Mincho Light J"/>
          <w:lang w:eastAsia="ar-SA"/>
        </w:rPr>
        <w:t xml:space="preserve">ogrzewacze powietrza i wody, promienniki ciepła, </w:t>
      </w: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proofErr w:type="spellStart"/>
      <w:r w:rsidRPr="007139EB">
        <w:rPr>
          <w:rFonts w:eastAsia="Times New Roman"/>
        </w:rPr>
        <w:t>areozole</w:t>
      </w:r>
      <w:proofErr w:type="spellEnd"/>
      <w:r w:rsidRPr="007139EB">
        <w:rPr>
          <w:rFonts w:eastAsia="Times New Roman"/>
        </w:rPr>
        <w:t xml:space="preserve"> (kosmetyki, odświeżacze powietrza, wyroby do czyszczenia mebli, emalie i lakiery, piany montażowe, kosmetyki samochodowe), </w:t>
      </w: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r w:rsidRPr="007139EB">
        <w:rPr>
          <w:rFonts w:eastAsia="Times New Roman"/>
        </w:rPr>
        <w:t xml:space="preserve">lampy </w:t>
      </w:r>
      <w:proofErr w:type="spellStart"/>
      <w:r w:rsidRPr="007139EB">
        <w:rPr>
          <w:rFonts w:eastAsia="Times New Roman"/>
        </w:rPr>
        <w:t>led</w:t>
      </w:r>
      <w:proofErr w:type="spellEnd"/>
      <w:r w:rsidRPr="007139EB">
        <w:rPr>
          <w:rFonts w:eastAsia="Times New Roman"/>
        </w:rPr>
        <w:t>, piekarniki i okapy (</w:t>
      </w:r>
      <w:proofErr w:type="spellStart"/>
      <w:r w:rsidRPr="007139EB">
        <w:rPr>
          <w:rFonts w:eastAsia="Times New Roman"/>
        </w:rPr>
        <w:t>ekoprojekt</w:t>
      </w:r>
      <w:proofErr w:type="spellEnd"/>
      <w:r w:rsidRPr="007139EB">
        <w:rPr>
          <w:rFonts w:eastAsia="Times New Roman"/>
        </w:rPr>
        <w:t>),</w:t>
      </w:r>
    </w:p>
    <w:p w:rsidR="007139EB" w:rsidRPr="007139EB" w:rsidRDefault="007139EB" w:rsidP="004670DB">
      <w:pPr>
        <w:widowControl w:val="0"/>
        <w:numPr>
          <w:ilvl w:val="0"/>
          <w:numId w:val="9"/>
        </w:numPr>
        <w:tabs>
          <w:tab w:val="left" w:pos="709"/>
        </w:tabs>
        <w:suppressAutoHyphens/>
        <w:autoSpaceDE w:val="0"/>
        <w:ind w:left="709" w:hanging="283"/>
        <w:jc w:val="both"/>
        <w:rPr>
          <w:rFonts w:eastAsia="Times New Roman"/>
        </w:rPr>
      </w:pPr>
      <w:r w:rsidRPr="007139EB">
        <w:rPr>
          <w:rFonts w:eastAsia="Times New Roman"/>
        </w:rPr>
        <w:t xml:space="preserve">czy oferowane do sprzedaży wyroby nie figurują w systemie </w:t>
      </w:r>
      <w:proofErr w:type="spellStart"/>
      <w:r w:rsidRPr="007139EB">
        <w:rPr>
          <w:rFonts w:eastAsia="Times New Roman"/>
        </w:rPr>
        <w:t>Rapex</w:t>
      </w:r>
      <w:proofErr w:type="spellEnd"/>
      <w:r w:rsidRPr="007139EB">
        <w:rPr>
          <w:rFonts w:eastAsia="Times New Roman"/>
        </w:rPr>
        <w:t>.</w:t>
      </w:r>
    </w:p>
    <w:p w:rsidR="007139EB" w:rsidRPr="007139EB" w:rsidRDefault="007139EB" w:rsidP="007139EB">
      <w:pPr>
        <w:widowControl w:val="0"/>
        <w:tabs>
          <w:tab w:val="left" w:pos="1980"/>
        </w:tabs>
        <w:suppressAutoHyphens/>
        <w:autoSpaceDE w:val="0"/>
        <w:jc w:val="both"/>
        <w:rPr>
          <w:rFonts w:eastAsia="Times New Roman"/>
        </w:rPr>
      </w:pPr>
      <w:r w:rsidRPr="007139EB">
        <w:rPr>
          <w:rFonts w:eastAsia="Times New Roman"/>
        </w:rPr>
        <w:tab/>
      </w:r>
    </w:p>
    <w:p w:rsidR="007139EB" w:rsidRPr="007139EB" w:rsidRDefault="007139EB" w:rsidP="007139EB">
      <w:pPr>
        <w:widowControl w:val="0"/>
        <w:tabs>
          <w:tab w:val="left" w:pos="709"/>
        </w:tabs>
        <w:suppressAutoHyphens/>
        <w:autoSpaceDE w:val="0"/>
        <w:jc w:val="both"/>
        <w:rPr>
          <w:rFonts w:eastAsia="Times New Roman"/>
        </w:rPr>
      </w:pPr>
      <w:r w:rsidRPr="007139EB">
        <w:rPr>
          <w:rFonts w:eastAsia="Times New Roman"/>
        </w:rPr>
        <w:tab/>
        <w:t xml:space="preserve">Ogółem zbadano </w:t>
      </w:r>
      <w:r w:rsidRPr="007139EB">
        <w:rPr>
          <w:rFonts w:eastAsia="Times New Roman"/>
          <w:b/>
        </w:rPr>
        <w:t xml:space="preserve">240 </w:t>
      </w:r>
      <w:r w:rsidRPr="007139EB">
        <w:rPr>
          <w:rFonts w:eastAsia="Times New Roman"/>
        </w:rPr>
        <w:t xml:space="preserve">partii produktów. </w:t>
      </w:r>
      <w:r w:rsidRPr="007139EB">
        <w:rPr>
          <w:rFonts w:eastAsia="Times New Roman"/>
          <w:b/>
        </w:rPr>
        <w:t>Zakwestionowano 96 partii</w:t>
      </w:r>
      <w:r w:rsidRPr="007139EB">
        <w:rPr>
          <w:rFonts w:eastAsia="Times New Roman"/>
        </w:rPr>
        <w:t xml:space="preserve"> (40% ogółem skontrolowanych). Najczęściej uchybienia stanowiło:</w:t>
      </w:r>
    </w:p>
    <w:p w:rsidR="007139EB" w:rsidRPr="007139EB" w:rsidRDefault="007139EB" w:rsidP="007139EB">
      <w:pPr>
        <w:widowControl w:val="0"/>
        <w:tabs>
          <w:tab w:val="left" w:pos="1980"/>
        </w:tabs>
        <w:suppressAutoHyphens/>
        <w:autoSpaceDE w:val="0"/>
        <w:ind w:firstLine="720"/>
        <w:jc w:val="both"/>
        <w:rPr>
          <w:rFonts w:eastAsia="Times New Roman"/>
        </w:rPr>
      </w:pP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 xml:space="preserve">niewłaściwe bądź niekompletne oznaczenie produktu, </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brak ostrzeżeń pozwalających na bezpieczne użytkowanie produktu,</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brak lub niepełna instrukcja obsługi,</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dołączenie nieprawidłowo sporządzonych deklaracji zgodności,</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istnienie wad konstrukcyjnych,</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brak lub nieprawidłowe oznakowanie wyrobu znakiem CE,</w:t>
      </w:r>
    </w:p>
    <w:p w:rsidR="007139EB" w:rsidRPr="007139EB" w:rsidRDefault="007139EB" w:rsidP="004670DB">
      <w:pPr>
        <w:widowControl w:val="0"/>
        <w:numPr>
          <w:ilvl w:val="0"/>
          <w:numId w:val="10"/>
        </w:numPr>
        <w:tabs>
          <w:tab w:val="left" w:pos="709"/>
        </w:tabs>
        <w:suppressAutoHyphens/>
        <w:autoSpaceDE w:val="0"/>
        <w:ind w:left="709" w:hanging="283"/>
        <w:jc w:val="both"/>
        <w:rPr>
          <w:rFonts w:eastAsia="Times New Roman"/>
        </w:rPr>
      </w:pPr>
      <w:r w:rsidRPr="007139EB">
        <w:rPr>
          <w:rFonts w:eastAsia="Times New Roman"/>
        </w:rPr>
        <w:t xml:space="preserve">nieprawidłowe zaklasyfikowanie pod względem przeznaczenia wiekowego wyrobu (zabawki) oraz </w:t>
      </w:r>
      <w:r w:rsidRPr="007139EB">
        <w:rPr>
          <w:rFonts w:eastAsia="Calibri"/>
          <w:bCs/>
          <w:lang w:eastAsia="en-US"/>
        </w:rPr>
        <w:t>występowania w nich substancji niedozwolonych.</w:t>
      </w:r>
    </w:p>
    <w:p w:rsidR="007139EB" w:rsidRPr="007139EB" w:rsidRDefault="007139EB" w:rsidP="007139EB">
      <w:pPr>
        <w:widowControl w:val="0"/>
        <w:tabs>
          <w:tab w:val="left" w:pos="1980"/>
        </w:tabs>
        <w:suppressAutoHyphens/>
        <w:autoSpaceDE w:val="0"/>
        <w:ind w:firstLine="720"/>
        <w:jc w:val="both"/>
        <w:rPr>
          <w:rFonts w:eastAsia="Times New Roman"/>
        </w:rPr>
      </w:pPr>
    </w:p>
    <w:p w:rsidR="007139EB" w:rsidRPr="007139EB" w:rsidRDefault="007139EB" w:rsidP="007139EB">
      <w:pPr>
        <w:ind w:firstLine="709"/>
        <w:jc w:val="both"/>
        <w:rPr>
          <w:rFonts w:eastAsia="Calibri"/>
          <w:b/>
          <w:bCs/>
          <w:lang w:eastAsia="en-US"/>
        </w:rPr>
      </w:pPr>
      <w:r w:rsidRPr="007139EB">
        <w:rPr>
          <w:rFonts w:eastAsia="Calibri"/>
          <w:bCs/>
          <w:lang w:eastAsia="en-US"/>
        </w:rPr>
        <w:t xml:space="preserve">W 2016 r. przeprowadzono </w:t>
      </w:r>
      <w:r w:rsidRPr="007139EB">
        <w:rPr>
          <w:rFonts w:eastAsia="Calibri"/>
          <w:b/>
          <w:bCs/>
          <w:lang w:eastAsia="en-US"/>
        </w:rPr>
        <w:t>20 kontroli</w:t>
      </w:r>
      <w:r w:rsidRPr="007139EB">
        <w:rPr>
          <w:rFonts w:eastAsia="Calibri"/>
          <w:bCs/>
          <w:lang w:eastAsia="en-US"/>
        </w:rPr>
        <w:t xml:space="preserve"> w zakresie </w:t>
      </w:r>
      <w:r w:rsidRPr="007139EB">
        <w:rPr>
          <w:rFonts w:eastAsia="Calibri"/>
          <w:b/>
          <w:bCs/>
          <w:lang w:eastAsia="en-US"/>
        </w:rPr>
        <w:t>bezpieczeństwa zabawek.</w:t>
      </w:r>
      <w:r w:rsidRPr="007139EB">
        <w:rPr>
          <w:rFonts w:eastAsia="Calibri"/>
          <w:bCs/>
          <w:lang w:eastAsia="en-US"/>
        </w:rPr>
        <w:t xml:space="preserve"> 12 z nich było kontrolami planowymi, a 8 interwencyjnymi, przeprowadzonymi w związku z </w:t>
      </w:r>
      <w:r w:rsidRPr="007139EB">
        <w:rPr>
          <w:rFonts w:eastAsia="Calibri"/>
          <w:bCs/>
          <w:lang w:eastAsia="en-US"/>
        </w:rPr>
        <w:lastRenderedPageBreak/>
        <w:t xml:space="preserve">negatywnymi wynikami badań laboratoryjnych. Nieprawidłowości stwierdzono w </w:t>
      </w:r>
      <w:r w:rsidRPr="007139EB">
        <w:rPr>
          <w:rFonts w:eastAsia="Calibri"/>
          <w:b/>
          <w:bCs/>
          <w:lang w:eastAsia="en-US"/>
        </w:rPr>
        <w:t xml:space="preserve">11 placówkach. </w:t>
      </w:r>
      <w:r w:rsidRPr="007139EB">
        <w:rPr>
          <w:rFonts w:eastAsia="Calibri"/>
          <w:bCs/>
          <w:lang w:eastAsia="en-US"/>
        </w:rPr>
        <w:t xml:space="preserve">Kontrolą objęto łącznie </w:t>
      </w:r>
      <w:r w:rsidRPr="007139EB">
        <w:rPr>
          <w:rFonts w:eastAsia="Calibri"/>
          <w:b/>
          <w:bCs/>
          <w:lang w:eastAsia="en-US"/>
        </w:rPr>
        <w:t>110 zabawek</w:t>
      </w:r>
      <w:r w:rsidRPr="007139EB">
        <w:rPr>
          <w:rFonts w:eastAsia="Calibri"/>
          <w:bCs/>
          <w:lang w:eastAsia="en-US"/>
        </w:rPr>
        <w:t xml:space="preserve">, stwierdzając nieprawidłowości w </w:t>
      </w:r>
      <w:r w:rsidRPr="007139EB">
        <w:rPr>
          <w:rFonts w:eastAsia="Calibri"/>
          <w:b/>
          <w:bCs/>
          <w:lang w:eastAsia="en-US"/>
        </w:rPr>
        <w:t>47 wyrobach</w:t>
      </w:r>
      <w:r w:rsidRPr="007139EB">
        <w:rPr>
          <w:rFonts w:eastAsia="Calibri"/>
          <w:bCs/>
          <w:lang w:eastAsia="en-US"/>
        </w:rPr>
        <w:t xml:space="preserve">. Do badań laboratoryjnych skierowano </w:t>
      </w:r>
      <w:r w:rsidRPr="007139EB">
        <w:rPr>
          <w:rFonts w:eastAsia="Calibri"/>
          <w:b/>
          <w:bCs/>
          <w:lang w:eastAsia="en-US"/>
        </w:rPr>
        <w:t>14 próbek</w:t>
      </w:r>
      <w:r w:rsidRPr="007139EB">
        <w:rPr>
          <w:rFonts w:eastAsia="Calibri"/>
          <w:bCs/>
          <w:lang w:eastAsia="en-US"/>
        </w:rPr>
        <w:t xml:space="preserve">, z czego w </w:t>
      </w:r>
      <w:r w:rsidRPr="007139EB">
        <w:rPr>
          <w:rFonts w:eastAsia="Calibri"/>
          <w:b/>
          <w:bCs/>
          <w:lang w:eastAsia="en-US"/>
        </w:rPr>
        <w:t>11 próbkach</w:t>
      </w:r>
      <w:r w:rsidRPr="007139EB">
        <w:rPr>
          <w:rFonts w:eastAsia="Calibri"/>
          <w:bCs/>
          <w:lang w:eastAsia="en-US"/>
        </w:rPr>
        <w:t xml:space="preserve"> stwierdzono niezgodności w zakresie konstrukcji, wykonania bądź zastosowanych materiałów. Badania </w:t>
      </w:r>
      <w:r w:rsidRPr="007139EB">
        <w:rPr>
          <w:rFonts w:eastAsia="Calibri"/>
          <w:b/>
          <w:bCs/>
          <w:lang w:eastAsia="en-US"/>
        </w:rPr>
        <w:t>9 próbek</w:t>
      </w:r>
      <w:r w:rsidR="001860FB">
        <w:rPr>
          <w:rFonts w:eastAsia="Calibri"/>
          <w:bCs/>
          <w:lang w:eastAsia="en-US"/>
        </w:rPr>
        <w:t xml:space="preserve"> pod ką</w:t>
      </w:r>
      <w:r w:rsidRPr="007139EB">
        <w:rPr>
          <w:rFonts w:eastAsia="Calibri"/>
          <w:bCs/>
          <w:lang w:eastAsia="en-US"/>
        </w:rPr>
        <w:t xml:space="preserve">tem zgodności z normami zharmonizowanymi wykazały niezgodności w </w:t>
      </w:r>
      <w:r w:rsidRPr="007139EB">
        <w:rPr>
          <w:rFonts w:eastAsia="Calibri"/>
          <w:b/>
          <w:bCs/>
          <w:lang w:eastAsia="en-US"/>
        </w:rPr>
        <w:t>7 próbkach</w:t>
      </w:r>
      <w:r w:rsidRPr="007139EB">
        <w:rPr>
          <w:rFonts w:eastAsia="Calibri"/>
          <w:bCs/>
          <w:lang w:eastAsia="en-US"/>
        </w:rPr>
        <w:t xml:space="preserve">. Badaniom poddano zabawki pociskowe z przyssawkami (tj. łuki, pistolety, zestawy policyjne), huśtawkę, samolot do pociągania oraz pluszowego jeża. W przypadku 3 zabawek pociskowych stwierdzono odłączenie się od pocisków małych części: przyssawek, stwarzających ryzyko uduszenia użytkownika. W wyniku badania zestawu policyjnego zawierającego strzałki wykonane z pianki i zakończone przyssawkami, strzałki uległy rozerwaniu na dwie części, co spowodowało powstanie pocisków o zaniżonej długości. Przy badaniu łuku stwierdzono, że zabawka uwalnia pociski o energii kinetycznej większej niż 0,08 J, w związku z czym wymagane jest umieszczenie w oznakowaniu zabawki ostrzeżenia „Nie celować w oczy lub twarz.” W przypadku samolotu na kółkach stwierdzono pojawienie się w wyniku badania małych elementów, zaniżoną grubość linki oraz zaniżoną grubość folii opakowania. Badania huśtawki wykazały natomiast występowanie otworów stwarzających niebezpieczeństwo uwięźnięcia głowy lub szyi. </w:t>
      </w:r>
      <w:r w:rsidRPr="007139EB">
        <w:rPr>
          <w:rFonts w:eastAsia="Calibri"/>
          <w:b/>
          <w:bCs/>
          <w:lang w:eastAsia="en-US"/>
        </w:rPr>
        <w:t>5 zabawek</w:t>
      </w:r>
      <w:r w:rsidRPr="007139EB">
        <w:rPr>
          <w:rFonts w:eastAsia="Calibri"/>
          <w:bCs/>
          <w:lang w:eastAsia="en-US"/>
        </w:rPr>
        <w:t xml:space="preserve"> zbadano pod kątem występowania w nich substancji niedozwolonych, tj. </w:t>
      </w:r>
      <w:proofErr w:type="spellStart"/>
      <w:r w:rsidRPr="007139EB">
        <w:rPr>
          <w:rFonts w:eastAsia="Calibri"/>
          <w:bCs/>
          <w:lang w:eastAsia="en-US"/>
        </w:rPr>
        <w:t>ftalanów</w:t>
      </w:r>
      <w:proofErr w:type="spellEnd"/>
      <w:r w:rsidRPr="007139EB">
        <w:rPr>
          <w:rFonts w:eastAsia="Calibri"/>
          <w:bCs/>
          <w:lang w:eastAsia="en-US"/>
        </w:rPr>
        <w:t xml:space="preserve">. - zakwestionowano </w:t>
      </w:r>
      <w:r w:rsidRPr="007139EB">
        <w:rPr>
          <w:rFonts w:eastAsia="Calibri"/>
          <w:b/>
          <w:bCs/>
          <w:lang w:eastAsia="en-US"/>
        </w:rPr>
        <w:t>4 próbki</w:t>
      </w:r>
      <w:r w:rsidRPr="007139EB">
        <w:rPr>
          <w:rFonts w:eastAsia="Calibri"/>
          <w:bCs/>
          <w:lang w:eastAsia="en-US"/>
        </w:rPr>
        <w:t xml:space="preserve">. W 3 lalkach wykryto obecność </w:t>
      </w:r>
      <w:proofErr w:type="spellStart"/>
      <w:r w:rsidRPr="007139EB">
        <w:rPr>
          <w:rFonts w:eastAsia="Calibri"/>
          <w:bCs/>
          <w:lang w:eastAsia="en-US"/>
        </w:rPr>
        <w:t>ftalanu</w:t>
      </w:r>
      <w:proofErr w:type="spellEnd"/>
      <w:r w:rsidRPr="007139EB">
        <w:rPr>
          <w:rFonts w:eastAsia="Calibri"/>
          <w:bCs/>
          <w:lang w:eastAsia="en-US"/>
        </w:rPr>
        <w:t xml:space="preserve"> di-butylu (DBP), natomiast w skakance ujawniono występowanie dwóch rodzajów </w:t>
      </w:r>
      <w:proofErr w:type="spellStart"/>
      <w:r w:rsidRPr="007139EB">
        <w:rPr>
          <w:rFonts w:eastAsia="Calibri"/>
          <w:bCs/>
          <w:lang w:eastAsia="en-US"/>
        </w:rPr>
        <w:t>ftalanów</w:t>
      </w:r>
      <w:proofErr w:type="spellEnd"/>
      <w:r w:rsidRPr="007139EB">
        <w:rPr>
          <w:rFonts w:eastAsia="Calibri"/>
          <w:bCs/>
          <w:lang w:eastAsia="en-US"/>
        </w:rPr>
        <w:t xml:space="preserve">, tj. </w:t>
      </w:r>
      <w:proofErr w:type="spellStart"/>
      <w:r w:rsidRPr="007139EB">
        <w:rPr>
          <w:rFonts w:eastAsia="Calibri"/>
          <w:bCs/>
          <w:lang w:eastAsia="en-US"/>
        </w:rPr>
        <w:t>ftalanu</w:t>
      </w:r>
      <w:proofErr w:type="spellEnd"/>
      <w:r w:rsidRPr="007139EB">
        <w:rPr>
          <w:rFonts w:eastAsia="Calibri"/>
          <w:bCs/>
          <w:lang w:eastAsia="en-US"/>
        </w:rPr>
        <w:t xml:space="preserve"> di-butylu (DBP) oraz </w:t>
      </w:r>
      <w:proofErr w:type="spellStart"/>
      <w:r w:rsidRPr="007139EB">
        <w:rPr>
          <w:rFonts w:eastAsia="Calibri"/>
          <w:bCs/>
          <w:lang w:eastAsia="en-US"/>
        </w:rPr>
        <w:t>ftalanu</w:t>
      </w:r>
      <w:proofErr w:type="spellEnd"/>
      <w:r w:rsidRPr="007139EB">
        <w:rPr>
          <w:rFonts w:eastAsia="Calibri"/>
          <w:bCs/>
          <w:lang w:eastAsia="en-US"/>
        </w:rPr>
        <w:t xml:space="preserve"> di-izobutylu (DIBP). Wskazać należy na bardzo wysoką zawartość </w:t>
      </w:r>
      <w:proofErr w:type="spellStart"/>
      <w:r w:rsidRPr="007139EB">
        <w:rPr>
          <w:rFonts w:eastAsia="Calibri"/>
          <w:bCs/>
          <w:lang w:eastAsia="en-US"/>
        </w:rPr>
        <w:t>ftalanów</w:t>
      </w:r>
      <w:proofErr w:type="spellEnd"/>
      <w:r w:rsidRPr="007139EB">
        <w:rPr>
          <w:rFonts w:eastAsia="Calibri"/>
          <w:bCs/>
          <w:lang w:eastAsia="en-US"/>
        </w:rPr>
        <w:t xml:space="preserve"> w zbadanych próbkach, która mieściła się w przedziale od 22,8 do 34,3 %</w:t>
      </w:r>
      <w:r w:rsidR="001860FB">
        <w:rPr>
          <w:rFonts w:eastAsia="Calibri"/>
          <w:bCs/>
          <w:lang w:eastAsia="en-US"/>
        </w:rPr>
        <w:t xml:space="preserve"> przy dopuszczalnej 0,1</w:t>
      </w:r>
      <w:r w:rsidRPr="007139EB">
        <w:rPr>
          <w:rFonts w:eastAsia="Calibri"/>
          <w:bCs/>
          <w:lang w:eastAsia="en-US"/>
        </w:rPr>
        <w:t xml:space="preserve">. Stwierdzono nieprawidłowe oznakowanie </w:t>
      </w:r>
      <w:r w:rsidRPr="007139EB">
        <w:rPr>
          <w:rFonts w:eastAsia="Calibri"/>
          <w:b/>
          <w:bCs/>
          <w:lang w:eastAsia="en-US"/>
        </w:rPr>
        <w:t>42 zabawek</w:t>
      </w:r>
      <w:r w:rsidRPr="007139EB">
        <w:rPr>
          <w:rFonts w:eastAsia="Calibri"/>
          <w:bCs/>
          <w:lang w:eastAsia="en-US"/>
        </w:rPr>
        <w:t>. Głównie dotyczyło to: niezasadnego umieszczenia ostrzeżenia „0-3”,nieprawidłowo sformułowanego lub wskazania nieistniejącego ryzyka, braku danych producenta, nieprawidłowo sporządzonej deklaracji zgodności, braku wymaganych ostrzeżeń, instrukcji użytkowania, oznakowania CE.</w:t>
      </w:r>
    </w:p>
    <w:p w:rsidR="007139EB" w:rsidRPr="007139EB" w:rsidRDefault="007139EB" w:rsidP="007139EB">
      <w:pPr>
        <w:widowControl w:val="0"/>
        <w:tabs>
          <w:tab w:val="left" w:pos="1980"/>
        </w:tabs>
        <w:suppressAutoHyphens/>
        <w:autoSpaceDE w:val="0"/>
        <w:jc w:val="both"/>
        <w:rPr>
          <w:rFonts w:eastAsia="Times New Roman"/>
        </w:rPr>
      </w:pPr>
    </w:p>
    <w:p w:rsidR="007139EB" w:rsidRPr="007139EB" w:rsidRDefault="007139EB" w:rsidP="007139EB">
      <w:pPr>
        <w:widowControl w:val="0"/>
        <w:suppressAutoHyphens/>
        <w:ind w:firstLine="708"/>
        <w:jc w:val="both"/>
        <w:rPr>
          <w:rFonts w:eastAsia="Times New Roman"/>
          <w:lang w:eastAsia="ar-SA"/>
        </w:rPr>
      </w:pPr>
      <w:r w:rsidRPr="007139EB">
        <w:rPr>
          <w:rFonts w:eastAsia="HG Mincho Light J"/>
          <w:lang w:eastAsia="ar-SA"/>
        </w:rPr>
        <w:t xml:space="preserve">Przeprowadzono </w:t>
      </w:r>
      <w:r w:rsidRPr="007139EB">
        <w:rPr>
          <w:rFonts w:eastAsia="HG Mincho Light J"/>
          <w:b/>
          <w:lang w:eastAsia="ar-SA"/>
        </w:rPr>
        <w:t>4 kontrole</w:t>
      </w:r>
      <w:r w:rsidRPr="007139EB">
        <w:rPr>
          <w:rFonts w:eastAsia="HG Mincho Light J"/>
          <w:lang w:eastAsia="ar-SA"/>
        </w:rPr>
        <w:t xml:space="preserve">, których celem było </w:t>
      </w:r>
      <w:r w:rsidRPr="007139EB">
        <w:rPr>
          <w:rFonts w:eastAsia="HG Mincho Light J"/>
        </w:rPr>
        <w:t xml:space="preserve">sprawdzenie i ocena, czy wprowadzone do obrotu </w:t>
      </w:r>
      <w:r w:rsidRPr="007139EB">
        <w:rPr>
          <w:rFonts w:eastAsia="HG Mincho Light J"/>
          <w:b/>
        </w:rPr>
        <w:t>środki ochrony indywidualnej</w:t>
      </w:r>
      <w:r w:rsidRPr="007139EB">
        <w:rPr>
          <w:rFonts w:eastAsia="HG Mincho Light J"/>
        </w:rPr>
        <w:t xml:space="preserve"> spełniają wymagania określone w rozporządzeniu Ministra Gospodarki z dnia 21 grudnia 2005 r. w sprawie zasadniczych wymagań dla środków ochrony indywidualnej (Dz. U. Nr 259, poz. 2173), wdrażającym do polskiego prawa dyrektywę Rady z dnia 21 grudnia 1989 r. w sprawie zbliżenia ustawodawstw Państw Członkowskich odnoszących się do wyposażenia ochrony osobistej (89/686/EWG).</w:t>
      </w:r>
      <w:r w:rsidRPr="007139EB">
        <w:rPr>
          <w:rFonts w:eastAsia="HG Mincho Light J"/>
          <w:lang w:eastAsia="ar-SA"/>
        </w:rPr>
        <w:t xml:space="preserve"> Sprawdzeniem objęto </w:t>
      </w:r>
      <w:r w:rsidRPr="007139EB">
        <w:rPr>
          <w:rFonts w:eastAsia="HG Mincho Light J"/>
          <w:b/>
          <w:lang w:eastAsia="ar-SA"/>
        </w:rPr>
        <w:t>8 partii</w:t>
      </w:r>
      <w:r w:rsidRPr="007139EB">
        <w:rPr>
          <w:rFonts w:eastAsia="HG Mincho Light J"/>
          <w:lang w:eastAsia="ar-SA"/>
        </w:rPr>
        <w:t xml:space="preserve"> środków ochrony indywidualnej, w tym kaski dla rowerzystów oraz użytkowników łyżworolek i wrotek, rękawice chroniące przed zagrożeniami mechanicznymi, ochraniacze dla rolkarzy oraz ochraniacze na golenie. </w:t>
      </w:r>
      <w:r w:rsidRPr="007139EB">
        <w:rPr>
          <w:rFonts w:eastAsia="Times New Roman"/>
          <w:lang w:eastAsia="ar-SA"/>
        </w:rPr>
        <w:t xml:space="preserve">Nieprawidłowości stwierdzono w </w:t>
      </w:r>
      <w:r w:rsidRPr="007139EB">
        <w:rPr>
          <w:rFonts w:eastAsia="Times New Roman"/>
          <w:b/>
          <w:lang w:eastAsia="ar-SA"/>
        </w:rPr>
        <w:t>3 placówkach,</w:t>
      </w:r>
      <w:r w:rsidRPr="007139EB">
        <w:rPr>
          <w:rFonts w:eastAsia="Times New Roman"/>
          <w:lang w:eastAsia="ar-SA"/>
        </w:rPr>
        <w:t xml:space="preserve"> co stanowi 75% objętych kontrolą podmiotów. Zakwestionowano </w:t>
      </w:r>
      <w:r w:rsidRPr="007139EB">
        <w:rPr>
          <w:rFonts w:eastAsia="Times New Roman"/>
          <w:b/>
          <w:lang w:eastAsia="ar-SA"/>
        </w:rPr>
        <w:t>3 partie</w:t>
      </w:r>
      <w:r w:rsidRPr="007139EB">
        <w:rPr>
          <w:rFonts w:eastAsia="Times New Roman"/>
          <w:lang w:eastAsia="ar-SA"/>
        </w:rPr>
        <w:t xml:space="preserve"> środków och</w:t>
      </w:r>
      <w:r w:rsidR="001860FB">
        <w:rPr>
          <w:rFonts w:eastAsia="Times New Roman"/>
          <w:lang w:eastAsia="ar-SA"/>
        </w:rPr>
        <w:t>rony (odzież ochronną i 2 partie</w:t>
      </w:r>
      <w:r w:rsidRPr="007139EB">
        <w:rPr>
          <w:rFonts w:eastAsia="Times New Roman"/>
          <w:lang w:eastAsia="ar-SA"/>
        </w:rPr>
        <w:t xml:space="preserve"> kasków dla rowerzystów), co stanowi 38%  zbadanych. </w:t>
      </w:r>
    </w:p>
    <w:p w:rsidR="007139EB" w:rsidRPr="007139EB" w:rsidRDefault="007139EB" w:rsidP="007139EB">
      <w:pPr>
        <w:widowControl w:val="0"/>
        <w:tabs>
          <w:tab w:val="left" w:pos="1980"/>
        </w:tabs>
        <w:suppressAutoHyphens/>
        <w:autoSpaceDE w:val="0"/>
        <w:ind w:firstLine="720"/>
        <w:jc w:val="both"/>
        <w:rPr>
          <w:rFonts w:eastAsia="Times New Roman"/>
        </w:rPr>
      </w:pPr>
    </w:p>
    <w:p w:rsidR="007139EB" w:rsidRPr="00860A2C" w:rsidRDefault="007139EB" w:rsidP="007139EB">
      <w:pPr>
        <w:jc w:val="both"/>
        <w:rPr>
          <w:rFonts w:eastAsia="Times New Roman"/>
          <w:bCs/>
        </w:rPr>
      </w:pPr>
      <w:r w:rsidRPr="00860A2C">
        <w:rPr>
          <w:rFonts w:eastAsia="Times New Roman"/>
        </w:rPr>
        <w:tab/>
      </w:r>
      <w:r w:rsidRPr="00860A2C">
        <w:rPr>
          <w:rFonts w:eastAsia="Times New Roman"/>
          <w:b/>
        </w:rPr>
        <w:t>19 kontroli</w:t>
      </w:r>
      <w:r w:rsidRPr="00860A2C">
        <w:rPr>
          <w:rFonts w:eastAsia="Times New Roman"/>
        </w:rPr>
        <w:t xml:space="preserve"> dotyczyło </w:t>
      </w:r>
      <w:r w:rsidRPr="00860A2C">
        <w:rPr>
          <w:rFonts w:eastAsia="Times New Roman"/>
          <w:b/>
        </w:rPr>
        <w:t>sprzętu elektrycznego</w:t>
      </w:r>
      <w:r w:rsidRPr="00860A2C">
        <w:rPr>
          <w:rFonts w:eastAsia="Times New Roman"/>
        </w:rPr>
        <w:t xml:space="preserve">. Skontrolowano </w:t>
      </w:r>
      <w:r w:rsidRPr="00860A2C">
        <w:rPr>
          <w:rFonts w:eastAsia="Times New Roman"/>
          <w:b/>
        </w:rPr>
        <w:t>50 partii</w:t>
      </w:r>
      <w:r w:rsidRPr="00860A2C">
        <w:rPr>
          <w:rFonts w:eastAsia="Times New Roman"/>
        </w:rPr>
        <w:t xml:space="preserve"> wyrobów takich jak: przedłużacze zwijane, węże i girlandy świetlne, przenośne oprawy oświetleniowe, sprzęt oświetleniowy do użytkowania w łazienkach i kuchniach. Niezgodności stwierdzono w odniesieniu do </w:t>
      </w:r>
      <w:r w:rsidRPr="00860A2C">
        <w:rPr>
          <w:rFonts w:eastAsia="Times New Roman"/>
          <w:b/>
        </w:rPr>
        <w:t>17 wyrobów</w:t>
      </w:r>
      <w:r w:rsidRPr="00860A2C">
        <w:rPr>
          <w:rFonts w:eastAsia="Times New Roman"/>
        </w:rPr>
        <w:t xml:space="preserve"> (34% skontrolowanych). Polegały one na: </w:t>
      </w:r>
      <w:r w:rsidRPr="00860A2C">
        <w:rPr>
          <w:rFonts w:eastAsia="Times New Roman"/>
          <w:bCs/>
        </w:rPr>
        <w:t xml:space="preserve">braku </w:t>
      </w:r>
      <w:r w:rsidRPr="00860A2C">
        <w:rPr>
          <w:rFonts w:eastAsia="Times New Roman"/>
          <w:lang w:eastAsia="zh-CN"/>
        </w:rPr>
        <w:t xml:space="preserve">w oprawie oświetleniowej przenośnej </w:t>
      </w:r>
      <w:proofErr w:type="spellStart"/>
      <w:r w:rsidRPr="00860A2C">
        <w:rPr>
          <w:rFonts w:eastAsia="Times New Roman"/>
          <w:lang w:eastAsia="zh-CN"/>
        </w:rPr>
        <w:t>odciążki</w:t>
      </w:r>
      <w:proofErr w:type="spellEnd"/>
      <w:r w:rsidRPr="00860A2C">
        <w:rPr>
          <w:rFonts w:eastAsia="Times New Roman"/>
          <w:lang w:eastAsia="zh-CN"/>
        </w:rPr>
        <w:t xml:space="preserve"> zabezpieczającej przewód podłączony do zacisków przed naprężeniem i skręceniem,</w:t>
      </w:r>
      <w:r w:rsidRPr="00860A2C">
        <w:rPr>
          <w:rFonts w:eastAsia="Times New Roman"/>
          <w:bCs/>
        </w:rPr>
        <w:t xml:space="preserve"> braku oznakowania CE,</w:t>
      </w:r>
      <w:r w:rsidRPr="00860A2C">
        <w:rPr>
          <w:rFonts w:eastAsia="Times New Roman"/>
        </w:rPr>
        <w:t xml:space="preserve"> braku deklaracji i nieprawidłowo sporządzonej deklaracji zgodności, </w:t>
      </w:r>
      <w:r w:rsidRPr="00860A2C">
        <w:rPr>
          <w:rFonts w:eastAsia="Times New Roman"/>
          <w:lang w:eastAsia="zh-CN"/>
        </w:rPr>
        <w:t xml:space="preserve">dokumentacji technicznej i przeprowadzenia procedury oceny zgodności, </w:t>
      </w:r>
      <w:r w:rsidRPr="00860A2C">
        <w:rPr>
          <w:rFonts w:eastAsia="Times New Roman"/>
        </w:rPr>
        <w:t xml:space="preserve">braku danych lub niepełnych danych dot. wprowadzającego wyrób do obrotu, </w:t>
      </w:r>
      <w:r w:rsidRPr="00860A2C">
        <w:rPr>
          <w:rFonts w:eastAsia="Times New Roman"/>
          <w:lang w:eastAsia="zh-CN"/>
        </w:rPr>
        <w:t>braku nazwy typu, numeru partii lub serii lub innej informacji umożliwiającej identyfikację sprzętu elektrycznego i elektronicznego</w:t>
      </w:r>
      <w:r w:rsidRPr="00860A2C">
        <w:rPr>
          <w:rFonts w:eastAsia="Times New Roman"/>
          <w:bCs/>
        </w:rPr>
        <w:t xml:space="preserve">, braku podstawowych informacji, których znajomość i przestrzeganie są warunkiem </w:t>
      </w:r>
      <w:r w:rsidRPr="00860A2C">
        <w:rPr>
          <w:rFonts w:eastAsia="Times New Roman"/>
          <w:bCs/>
        </w:rPr>
        <w:lastRenderedPageBreak/>
        <w:t>bezpieczeństwa podczas użytkowania tego sprzętu, nie dołączeniu instrukcji montażu bądź braku</w:t>
      </w:r>
      <w:r w:rsidRPr="00860A2C">
        <w:rPr>
          <w:rFonts w:eastAsia="Times New Roman"/>
          <w:lang w:eastAsia="zh-CN"/>
        </w:rPr>
        <w:t xml:space="preserve"> w instrukcji obsługi montażu informacji niezbędnych do zapewnienia bezpiecznego połączenia. </w:t>
      </w:r>
    </w:p>
    <w:p w:rsidR="007139EB" w:rsidRPr="00860A2C" w:rsidRDefault="007139EB" w:rsidP="007139EB">
      <w:pPr>
        <w:widowControl w:val="0"/>
        <w:tabs>
          <w:tab w:val="left" w:pos="1980"/>
        </w:tabs>
        <w:suppressAutoHyphens/>
        <w:autoSpaceDE w:val="0"/>
        <w:jc w:val="both"/>
        <w:rPr>
          <w:rFonts w:eastAsia="Times New Roman"/>
        </w:rPr>
      </w:pPr>
    </w:p>
    <w:p w:rsidR="007139EB" w:rsidRPr="007139EB" w:rsidRDefault="007139EB" w:rsidP="007139EB">
      <w:pPr>
        <w:widowControl w:val="0"/>
        <w:suppressAutoHyphens/>
        <w:ind w:firstLine="709"/>
        <w:jc w:val="both"/>
        <w:rPr>
          <w:rFonts w:eastAsia="HG Mincho Light J"/>
          <w:lang w:eastAsia="ar-SA"/>
        </w:rPr>
      </w:pPr>
      <w:r w:rsidRPr="007139EB">
        <w:rPr>
          <w:rFonts w:eastAsia="HG Mincho Light J"/>
          <w:b/>
          <w:lang w:eastAsia="ar-SA"/>
        </w:rPr>
        <w:t xml:space="preserve"> Urządzenia spalające paliwa gazowe (</w:t>
      </w:r>
      <w:r w:rsidRPr="007139EB">
        <w:rPr>
          <w:rFonts w:eastAsia="HG Mincho Light J"/>
          <w:lang w:eastAsia="ar-SA"/>
        </w:rPr>
        <w:t xml:space="preserve">ogrzewacze powietrza i wody, promienniki ciepła) sprawdzano w trakcie </w:t>
      </w:r>
      <w:r w:rsidRPr="007139EB">
        <w:rPr>
          <w:rFonts w:eastAsia="HG Mincho Light J"/>
          <w:b/>
          <w:lang w:eastAsia="ar-SA"/>
        </w:rPr>
        <w:t xml:space="preserve">2 kontroli - 8 partii </w:t>
      </w:r>
      <w:r w:rsidRPr="007139EB">
        <w:rPr>
          <w:rFonts w:eastAsia="HG Mincho Light J"/>
          <w:lang w:eastAsia="ar-SA"/>
        </w:rPr>
        <w:t xml:space="preserve">produktów. </w:t>
      </w:r>
      <w:r w:rsidRPr="007139EB">
        <w:rPr>
          <w:rFonts w:eastAsia="Times New Roman"/>
          <w:lang w:eastAsia="ar-SA"/>
        </w:rPr>
        <w:t xml:space="preserve">Nieprawidłowości wystąpiły w </w:t>
      </w:r>
      <w:r w:rsidRPr="007139EB">
        <w:rPr>
          <w:rFonts w:eastAsia="Times New Roman"/>
          <w:b/>
          <w:lang w:eastAsia="ar-SA"/>
        </w:rPr>
        <w:t>2 placówkach</w:t>
      </w:r>
      <w:r w:rsidRPr="007139EB">
        <w:rPr>
          <w:rFonts w:eastAsia="Times New Roman"/>
          <w:lang w:eastAsia="ar-SA"/>
        </w:rPr>
        <w:t xml:space="preserve">, w odniesieniu do </w:t>
      </w:r>
      <w:r w:rsidRPr="007139EB">
        <w:rPr>
          <w:rFonts w:eastAsia="Times New Roman"/>
          <w:b/>
          <w:lang w:eastAsia="ar-SA"/>
        </w:rPr>
        <w:t>5 partii</w:t>
      </w:r>
      <w:r w:rsidRPr="007139EB">
        <w:rPr>
          <w:rFonts w:eastAsia="Times New Roman"/>
          <w:lang w:eastAsia="ar-SA"/>
        </w:rPr>
        <w:t xml:space="preserve">. Stwierdzono: </w:t>
      </w:r>
      <w:r w:rsidRPr="007139EB">
        <w:rPr>
          <w:rFonts w:eastAsia="Times New Roman"/>
        </w:rPr>
        <w:t>nieprawidłowe oznakowanie CE, brak na urządzeniu lub tabliczce znamionowej roku, w którym umieszczono oznakowanie CE, brak informacji w deklaracji zgodności, że produkt był objęty procedurą oceny zgodności, brak stosownych ostrzeżeń w szczególności informacji, że urządzenie użytkować tylko w odpowiednio wentylowanym pomieszczeniu, brak instrukcji sporządzonych w języku polskim oraz w językach urzędowych kraju przeznaczenia urządzeń i ich osprzętu.</w:t>
      </w:r>
    </w:p>
    <w:p w:rsidR="007139EB" w:rsidRPr="007139EB" w:rsidRDefault="007139EB" w:rsidP="007139EB">
      <w:pPr>
        <w:widowControl w:val="0"/>
        <w:tabs>
          <w:tab w:val="num" w:pos="1428"/>
        </w:tabs>
        <w:ind w:firstLine="708"/>
        <w:jc w:val="both"/>
        <w:rPr>
          <w:rFonts w:eastAsia="Calibri"/>
          <w:lang w:eastAsia="en-US"/>
        </w:rPr>
      </w:pPr>
    </w:p>
    <w:p w:rsidR="007139EB" w:rsidRPr="007139EB" w:rsidRDefault="007139EB" w:rsidP="007139EB">
      <w:pPr>
        <w:widowControl w:val="0"/>
        <w:tabs>
          <w:tab w:val="num" w:pos="1428"/>
        </w:tabs>
        <w:ind w:firstLine="708"/>
        <w:jc w:val="both"/>
        <w:rPr>
          <w:rFonts w:eastAsia="Times New Roman"/>
        </w:rPr>
      </w:pPr>
      <w:r w:rsidRPr="007139EB">
        <w:rPr>
          <w:rFonts w:eastAsia="Calibri"/>
          <w:lang w:eastAsia="en-US"/>
        </w:rPr>
        <w:t xml:space="preserve">Przeprowadzono </w:t>
      </w:r>
      <w:r w:rsidRPr="007139EB">
        <w:rPr>
          <w:rFonts w:eastAsia="Calibri"/>
          <w:b/>
          <w:lang w:eastAsia="en-US"/>
        </w:rPr>
        <w:t>9 kontroli etykiet efektywności energetycznej,</w:t>
      </w:r>
      <w:r w:rsidRPr="007139EB">
        <w:rPr>
          <w:rFonts w:eastAsia="HG Mincho Light J"/>
          <w:lang w:eastAsia="ar-SA"/>
        </w:rPr>
        <w:t xml:space="preserve"> podczas których sprawdzeniem objęto łącznie </w:t>
      </w:r>
      <w:r w:rsidRPr="007139EB">
        <w:rPr>
          <w:rFonts w:eastAsia="HG Mincho Light J"/>
          <w:b/>
          <w:lang w:eastAsia="ar-SA"/>
        </w:rPr>
        <w:t xml:space="preserve">25 partii wyrobów: 15 partii </w:t>
      </w:r>
      <w:r w:rsidRPr="007139EB">
        <w:rPr>
          <w:rFonts w:eastAsia="HG Mincho Light J"/>
          <w:lang w:eastAsia="ar-SA"/>
        </w:rPr>
        <w:t xml:space="preserve">lamp </w:t>
      </w:r>
      <w:proofErr w:type="spellStart"/>
      <w:r w:rsidRPr="007139EB">
        <w:rPr>
          <w:rFonts w:eastAsia="HG Mincho Light J"/>
          <w:lang w:eastAsia="ar-SA"/>
        </w:rPr>
        <w:t>led</w:t>
      </w:r>
      <w:proofErr w:type="spellEnd"/>
      <w:r w:rsidRPr="007139EB">
        <w:rPr>
          <w:rFonts w:eastAsia="HG Mincho Light J"/>
          <w:b/>
          <w:lang w:eastAsia="ar-SA"/>
        </w:rPr>
        <w:t xml:space="preserve"> (</w:t>
      </w:r>
      <w:r w:rsidRPr="007139EB">
        <w:rPr>
          <w:rFonts w:eastAsia="HG Mincho Light J"/>
          <w:lang w:eastAsia="ar-SA"/>
        </w:rPr>
        <w:t xml:space="preserve">6 partii lamp </w:t>
      </w:r>
      <w:proofErr w:type="spellStart"/>
      <w:r w:rsidRPr="007139EB">
        <w:rPr>
          <w:rFonts w:eastAsia="HG Mincho Light J"/>
          <w:lang w:eastAsia="ar-SA"/>
        </w:rPr>
        <w:t>led</w:t>
      </w:r>
      <w:proofErr w:type="spellEnd"/>
      <w:r w:rsidRPr="007139EB">
        <w:rPr>
          <w:rFonts w:eastAsia="HG Mincho Light J"/>
          <w:lang w:eastAsia="ar-SA"/>
        </w:rPr>
        <w:t xml:space="preserve"> bezkierunkowych, 9 partii lamp </w:t>
      </w:r>
      <w:proofErr w:type="spellStart"/>
      <w:r w:rsidRPr="007139EB">
        <w:rPr>
          <w:rFonts w:eastAsia="HG Mincho Light J"/>
          <w:lang w:eastAsia="ar-SA"/>
        </w:rPr>
        <w:t>led</w:t>
      </w:r>
      <w:proofErr w:type="spellEnd"/>
      <w:r w:rsidRPr="007139EB">
        <w:rPr>
          <w:rFonts w:eastAsia="HG Mincho Light J"/>
          <w:lang w:eastAsia="ar-SA"/>
        </w:rPr>
        <w:t xml:space="preserve"> kierunkowych),</w:t>
      </w:r>
      <w:r w:rsidRPr="007139EB">
        <w:rPr>
          <w:rFonts w:eastAsia="HG Mincho Light J"/>
          <w:b/>
          <w:lang w:eastAsia="ar-SA"/>
        </w:rPr>
        <w:t xml:space="preserve"> 10 partii</w:t>
      </w:r>
      <w:r w:rsidRPr="007139EB">
        <w:rPr>
          <w:rFonts w:eastAsia="HG Mincho Light J"/>
          <w:lang w:eastAsia="ar-SA"/>
        </w:rPr>
        <w:t xml:space="preserve"> sprzętu AGD (3 partie piekarników, 7 partii okapów).</w:t>
      </w:r>
      <w:r w:rsidRPr="007139EB">
        <w:rPr>
          <w:rFonts w:eastAsia="HG Mincho Light J"/>
          <w:b/>
          <w:lang w:eastAsia="ar-SA"/>
        </w:rPr>
        <w:t xml:space="preserve"> </w:t>
      </w:r>
      <w:r w:rsidRPr="007139EB">
        <w:rPr>
          <w:rFonts w:eastAsia="Calibri"/>
          <w:lang w:eastAsia="ar-SA"/>
        </w:rPr>
        <w:t xml:space="preserve">Nieprawidłowości stwierdzono w </w:t>
      </w:r>
      <w:r w:rsidRPr="007139EB">
        <w:rPr>
          <w:rFonts w:eastAsia="Calibri"/>
          <w:b/>
          <w:lang w:eastAsia="ar-SA"/>
        </w:rPr>
        <w:t>6 kontrolowanych placówkach</w:t>
      </w:r>
      <w:r w:rsidRPr="007139EB">
        <w:rPr>
          <w:rFonts w:eastAsia="Calibri"/>
          <w:lang w:eastAsia="ar-SA"/>
        </w:rPr>
        <w:t xml:space="preserve">, w odniesieniu do </w:t>
      </w:r>
      <w:r w:rsidRPr="007139EB">
        <w:rPr>
          <w:rFonts w:eastAsia="Calibri"/>
          <w:b/>
          <w:lang w:eastAsia="ar-SA"/>
        </w:rPr>
        <w:t>11 partii</w:t>
      </w:r>
      <w:r w:rsidRPr="007139EB">
        <w:rPr>
          <w:rFonts w:eastAsia="Calibri"/>
          <w:lang w:eastAsia="ar-SA"/>
        </w:rPr>
        <w:t xml:space="preserve">. Dotyczyły one: </w:t>
      </w:r>
      <w:r w:rsidRPr="007139EB">
        <w:rPr>
          <w:rFonts w:eastAsia="Times New Roman"/>
          <w:lang w:eastAsia="zh-CN"/>
        </w:rPr>
        <w:t>braku</w:t>
      </w:r>
      <w:r w:rsidRPr="007139EB">
        <w:rPr>
          <w:rFonts w:eastAsia="Times New Roman"/>
        </w:rPr>
        <w:t xml:space="preserve"> w przypadku 3 partii lamp </w:t>
      </w:r>
      <w:proofErr w:type="spellStart"/>
      <w:r w:rsidRPr="007139EB">
        <w:rPr>
          <w:rFonts w:eastAsia="Times New Roman"/>
        </w:rPr>
        <w:t>led</w:t>
      </w:r>
      <w:proofErr w:type="spellEnd"/>
      <w:r w:rsidRPr="007139EB">
        <w:rPr>
          <w:rFonts w:eastAsia="Times New Roman"/>
        </w:rPr>
        <w:t xml:space="preserve"> </w:t>
      </w:r>
      <w:r w:rsidRPr="007139EB">
        <w:rPr>
          <w:rFonts w:eastAsia="Times New Roman"/>
          <w:bCs/>
        </w:rPr>
        <w:t xml:space="preserve">na etykiecie efektywności energetycznej lub na opakowaniu informacji dotyczącej </w:t>
      </w:r>
      <w:r w:rsidRPr="007139EB">
        <w:rPr>
          <w:rFonts w:eastAsia="Times New Roman"/>
        </w:rPr>
        <w:t xml:space="preserve">rocznego zużycia energii w kWh na 1000 godzin, niewłaściwych wymiarów etykiet efektywności energetycznych w przypadku 3 partii lamp </w:t>
      </w:r>
      <w:proofErr w:type="spellStart"/>
      <w:r w:rsidRPr="007139EB">
        <w:rPr>
          <w:rFonts w:eastAsia="Times New Roman"/>
        </w:rPr>
        <w:t>led</w:t>
      </w:r>
      <w:proofErr w:type="spellEnd"/>
      <w:r w:rsidRPr="007139EB">
        <w:rPr>
          <w:rFonts w:eastAsia="Times New Roman"/>
        </w:rPr>
        <w:t>, braku etykiet efektywności energetycznej – dotyczyło to 5 partii wyrobów (</w:t>
      </w:r>
      <w:r w:rsidRPr="007139EB">
        <w:rPr>
          <w:rFonts w:eastAsia="Times New Roman"/>
          <w:lang w:eastAsia="zh-CN"/>
        </w:rPr>
        <w:t>3 partii okapów, 2 partii piekarników)</w:t>
      </w:r>
      <w:r w:rsidRPr="007139EB">
        <w:rPr>
          <w:rFonts w:eastAsia="Times New Roman"/>
        </w:rPr>
        <w:t>.</w:t>
      </w:r>
    </w:p>
    <w:p w:rsidR="007139EB" w:rsidRPr="007139EB" w:rsidRDefault="007139EB" w:rsidP="007139EB">
      <w:pPr>
        <w:widowControl w:val="0"/>
        <w:tabs>
          <w:tab w:val="num" w:pos="1428"/>
        </w:tabs>
        <w:ind w:firstLine="708"/>
        <w:jc w:val="both"/>
        <w:rPr>
          <w:rFonts w:eastAsia="Times New Roman"/>
        </w:rPr>
      </w:pPr>
    </w:p>
    <w:p w:rsidR="007139EB" w:rsidRPr="007139EB" w:rsidRDefault="007139EB" w:rsidP="007139EB">
      <w:pPr>
        <w:ind w:firstLine="708"/>
        <w:jc w:val="both"/>
        <w:rPr>
          <w:rFonts w:eastAsia="Times New Roman"/>
          <w:szCs w:val="20"/>
        </w:rPr>
      </w:pPr>
      <w:r w:rsidRPr="007139EB">
        <w:rPr>
          <w:rFonts w:eastAsia="Calibri"/>
          <w:b/>
          <w:lang w:eastAsia="en-US"/>
        </w:rPr>
        <w:t xml:space="preserve">27 partii wyrobów aerozolowych - </w:t>
      </w:r>
      <w:r w:rsidRPr="007139EB">
        <w:rPr>
          <w:rFonts w:eastAsia="Times New Roman"/>
        </w:rPr>
        <w:t>między innymi: kosmetyki, odświeżacze powietrza, wyroby do czyszczenia mebli, emalie i lakiery, piany montażowe, kosmetyki samochodowe</w:t>
      </w:r>
      <w:r w:rsidRPr="007139EB">
        <w:rPr>
          <w:rFonts w:eastAsia="Calibri"/>
          <w:b/>
          <w:lang w:eastAsia="en-US"/>
        </w:rPr>
        <w:t xml:space="preserve"> - </w:t>
      </w:r>
      <w:r w:rsidRPr="007139EB">
        <w:rPr>
          <w:rFonts w:eastAsia="Times New Roman"/>
        </w:rPr>
        <w:t xml:space="preserve">sprawdzano w </w:t>
      </w:r>
      <w:r w:rsidRPr="007139EB">
        <w:rPr>
          <w:rFonts w:eastAsia="Times New Roman"/>
          <w:b/>
        </w:rPr>
        <w:t>9 placówkach</w:t>
      </w:r>
      <w:r w:rsidRPr="007139EB">
        <w:rPr>
          <w:rFonts w:eastAsia="Times New Roman"/>
        </w:rPr>
        <w:t xml:space="preserve">. </w:t>
      </w:r>
      <w:r w:rsidRPr="007139EB">
        <w:rPr>
          <w:rFonts w:eastAsia="Calibri"/>
          <w:lang w:eastAsia="en-US"/>
        </w:rPr>
        <w:t xml:space="preserve">Nieprawidłowości stwierdzono w </w:t>
      </w:r>
      <w:r w:rsidRPr="007139EB">
        <w:rPr>
          <w:rFonts w:eastAsia="Calibri"/>
          <w:b/>
          <w:lang w:eastAsia="en-US"/>
        </w:rPr>
        <w:t>4 placówkach</w:t>
      </w:r>
      <w:r w:rsidRPr="007139EB">
        <w:rPr>
          <w:rFonts w:eastAsia="Calibri"/>
          <w:lang w:eastAsia="en-US"/>
        </w:rPr>
        <w:t xml:space="preserve"> w odniesieniu do</w:t>
      </w:r>
      <w:r w:rsidRPr="007139EB">
        <w:rPr>
          <w:rFonts w:eastAsia="Calibri"/>
          <w:b/>
          <w:lang w:eastAsia="en-US"/>
        </w:rPr>
        <w:t xml:space="preserve"> 4 partii</w:t>
      </w:r>
      <w:r w:rsidRPr="007139EB">
        <w:rPr>
          <w:rFonts w:eastAsia="Calibri"/>
          <w:lang w:eastAsia="en-US"/>
        </w:rPr>
        <w:t xml:space="preserve">. Polegały one na braku w oznakowaniu odpowiednich napisów ostrzegawczych, napisów definiujących środki ostrożności, zwrotów wskazujących rodzaj zagrożenia. </w:t>
      </w:r>
      <w:r w:rsidRPr="007139EB">
        <w:rPr>
          <w:rFonts w:eastAsia="Times New Roman"/>
          <w:b/>
        </w:rPr>
        <w:t>9 próbek</w:t>
      </w:r>
      <w:r w:rsidRPr="007139EB">
        <w:rPr>
          <w:rFonts w:eastAsia="Times New Roman"/>
        </w:rPr>
        <w:t xml:space="preserve"> wyrobów aerozolowych</w:t>
      </w:r>
      <w:r w:rsidRPr="007139EB">
        <w:rPr>
          <w:rFonts w:eastAsia="Times New Roman"/>
          <w:bCs/>
          <w:szCs w:val="20"/>
          <w:lang w:eastAsia="ar-SA"/>
        </w:rPr>
        <w:t xml:space="preserve"> poddano badaniom laboratoryjnym </w:t>
      </w:r>
      <w:r w:rsidRPr="007139EB">
        <w:rPr>
          <w:rFonts w:eastAsia="Times New Roman"/>
        </w:rPr>
        <w:t>w zakresie szczelności powietrznej i wodnej.</w:t>
      </w:r>
      <w:r w:rsidRPr="007139EB">
        <w:rPr>
          <w:rFonts w:ascii="Calibri" w:eastAsia="Calibri" w:hAnsi="Calibri"/>
          <w:sz w:val="22"/>
          <w:szCs w:val="22"/>
          <w:lang w:eastAsia="en-US"/>
        </w:rPr>
        <w:t xml:space="preserve"> </w:t>
      </w:r>
      <w:r w:rsidRPr="007139EB">
        <w:rPr>
          <w:rFonts w:eastAsia="Calibri"/>
          <w:lang w:eastAsia="en-US"/>
        </w:rPr>
        <w:t>Przeprowadzone badania wykazały, że objęte badaniem produkty są zgodne z wymaganiami.</w:t>
      </w:r>
    </w:p>
    <w:p w:rsidR="00C91857" w:rsidRPr="007139EB" w:rsidRDefault="00C91857" w:rsidP="0066594D">
      <w:pPr>
        <w:widowControl w:val="0"/>
        <w:tabs>
          <w:tab w:val="left" w:pos="1980"/>
        </w:tabs>
        <w:suppressAutoHyphens/>
        <w:autoSpaceDE w:val="0"/>
        <w:ind w:firstLine="720"/>
        <w:jc w:val="both"/>
        <w:rPr>
          <w:rFonts w:eastAsia="Times New Roman"/>
        </w:rPr>
      </w:pPr>
    </w:p>
    <w:p w:rsidR="00C91857" w:rsidRPr="007139EB" w:rsidRDefault="00C91857" w:rsidP="0066594D">
      <w:pPr>
        <w:widowControl w:val="0"/>
        <w:tabs>
          <w:tab w:val="left" w:pos="1980"/>
        </w:tabs>
        <w:suppressAutoHyphens/>
        <w:autoSpaceDE w:val="0"/>
        <w:ind w:firstLine="720"/>
        <w:jc w:val="both"/>
        <w:rPr>
          <w:rFonts w:eastAsia="Times New Roman"/>
        </w:rPr>
      </w:pPr>
    </w:p>
    <w:p w:rsidR="0066594D" w:rsidRPr="007139EB" w:rsidRDefault="0066594D"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7139EB">
        <w:rPr>
          <w:b/>
        </w:rPr>
        <w:t>Bezpieczeństwo produktów</w:t>
      </w:r>
    </w:p>
    <w:p w:rsidR="007139EB" w:rsidRPr="007139EB" w:rsidRDefault="007139EB" w:rsidP="007139EB">
      <w:pPr>
        <w:ind w:firstLine="708"/>
        <w:jc w:val="both"/>
      </w:pPr>
      <w:r w:rsidRPr="007139EB">
        <w:t xml:space="preserve">Wojewódzki Inspektorat Inspekcji Handlowej w Białymstoku prowadził kontrole spełniania przez produkty ogólnych wymagań bezpieczeństwa, których celem było eliminowanie z obrotu produktów stwarzających zagrożenie dla zdrowia lub życia użytkowników. </w:t>
      </w:r>
    </w:p>
    <w:p w:rsidR="007139EB" w:rsidRPr="007139EB" w:rsidRDefault="007139EB" w:rsidP="007139EB">
      <w:pPr>
        <w:jc w:val="both"/>
      </w:pPr>
    </w:p>
    <w:p w:rsidR="007139EB" w:rsidRPr="007139EB" w:rsidRDefault="007139EB" w:rsidP="007139EB">
      <w:pPr>
        <w:jc w:val="both"/>
        <w:rPr>
          <w:spacing w:val="-8"/>
        </w:rPr>
      </w:pPr>
      <w:r w:rsidRPr="007139EB">
        <w:t xml:space="preserve">W powyższym zakresie przeprowadzono </w:t>
      </w:r>
      <w:r w:rsidRPr="007139EB">
        <w:rPr>
          <w:b/>
        </w:rPr>
        <w:t>74 kontrole</w:t>
      </w:r>
      <w:r w:rsidRPr="007139EB">
        <w:t xml:space="preserve"> obejmując badaniem:</w:t>
      </w:r>
      <w:r w:rsidRPr="007139EB">
        <w:rPr>
          <w:spacing w:val="-8"/>
        </w:rPr>
        <w:t xml:space="preserve"> </w:t>
      </w:r>
    </w:p>
    <w:p w:rsidR="007139EB" w:rsidRPr="007139EB" w:rsidRDefault="007139EB" w:rsidP="007139EB">
      <w:pPr>
        <w:ind w:firstLine="708"/>
        <w:jc w:val="both"/>
        <w:rPr>
          <w:spacing w:val="-8"/>
        </w:rPr>
      </w:pP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drabiny,</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 xml:space="preserve">meble ogrodowe, </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Calibri"/>
          <w:lang w:eastAsia="en-US"/>
        </w:rPr>
        <w:t>artykuły wyposażenia samochodowego (linki holownicze, uchwyty do przewożenia rowerów, pasy mocujące ładunki),</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Calibri"/>
          <w:lang w:eastAsia="en-US"/>
        </w:rPr>
        <w:t>art. dla dzieci (smoczki do uspakajania, wyroby do mocowania smoczka, przewijaki niemowlęce, chodziki, wózki dziecięce, barierki bezpieczeństwa),</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obuwie,</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 xml:space="preserve">odzież sportową dla dzieci, </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Calibri"/>
          <w:lang w:eastAsia="en-US"/>
        </w:rPr>
        <w:t>produkty powszechnego użytku oferowane w niskich cenach</w:t>
      </w:r>
      <w:r w:rsidRPr="007139EB">
        <w:rPr>
          <w:rFonts w:eastAsia="Calibri"/>
          <w:b/>
          <w:lang w:eastAsia="en-US"/>
        </w:rPr>
        <w:t xml:space="preserve"> – </w:t>
      </w:r>
      <w:r w:rsidRPr="007139EB">
        <w:rPr>
          <w:rFonts w:eastAsia="Calibri"/>
          <w:lang w:eastAsia="en-US"/>
        </w:rPr>
        <w:t xml:space="preserve">artykuły gospodarstwa domowego, </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Calibri"/>
          <w:lang w:eastAsia="en-US"/>
        </w:rPr>
        <w:lastRenderedPageBreak/>
        <w:t>produkty służące do termicznej obróbki żywności ,</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 xml:space="preserve">wyroby konfekcyjne dla dzieci, </w:t>
      </w:r>
    </w:p>
    <w:p w:rsidR="007139EB" w:rsidRPr="007139EB" w:rsidRDefault="007139EB" w:rsidP="004670DB">
      <w:pPr>
        <w:numPr>
          <w:ilvl w:val="0"/>
          <w:numId w:val="8"/>
        </w:numPr>
        <w:tabs>
          <w:tab w:val="left" w:pos="709"/>
        </w:tabs>
        <w:suppressAutoHyphens/>
        <w:ind w:left="709" w:hanging="283"/>
        <w:jc w:val="both"/>
        <w:rPr>
          <w:rFonts w:eastAsia="Times New Roman"/>
        </w:rPr>
      </w:pPr>
      <w:r w:rsidRPr="007139EB">
        <w:rPr>
          <w:rFonts w:eastAsia="Times New Roman"/>
        </w:rPr>
        <w:t>wyroby włókiennicze.</w:t>
      </w:r>
    </w:p>
    <w:p w:rsidR="007139EB" w:rsidRPr="007139EB" w:rsidRDefault="007139EB" w:rsidP="007139EB">
      <w:pPr>
        <w:suppressAutoHyphens/>
        <w:ind w:firstLine="720"/>
        <w:jc w:val="both"/>
      </w:pPr>
    </w:p>
    <w:p w:rsidR="007139EB" w:rsidRPr="007139EB" w:rsidRDefault="007139EB" w:rsidP="007139EB">
      <w:pPr>
        <w:ind w:firstLine="708"/>
        <w:jc w:val="both"/>
      </w:pPr>
      <w:r w:rsidRPr="007139EB">
        <w:t xml:space="preserve">Zbadano </w:t>
      </w:r>
      <w:r w:rsidRPr="007139EB">
        <w:rPr>
          <w:b/>
        </w:rPr>
        <w:t xml:space="preserve">320 </w:t>
      </w:r>
      <w:r w:rsidRPr="007139EB">
        <w:t xml:space="preserve">partii produktów. Zakwestionowano </w:t>
      </w:r>
      <w:r w:rsidRPr="007139EB">
        <w:rPr>
          <w:b/>
        </w:rPr>
        <w:t xml:space="preserve">159 </w:t>
      </w:r>
      <w:r w:rsidR="001860FB">
        <w:t>partii</w:t>
      </w:r>
      <w:r w:rsidRPr="007139EB">
        <w:t xml:space="preserve"> wyrobów (50%), z uwagi na:</w:t>
      </w:r>
    </w:p>
    <w:p w:rsidR="007139EB" w:rsidRPr="007139EB" w:rsidRDefault="007139EB" w:rsidP="004670DB">
      <w:pPr>
        <w:widowControl w:val="0"/>
        <w:numPr>
          <w:ilvl w:val="0"/>
          <w:numId w:val="11"/>
        </w:numPr>
        <w:tabs>
          <w:tab w:val="left" w:pos="709"/>
        </w:tabs>
        <w:suppressAutoHyphens/>
        <w:autoSpaceDE w:val="0"/>
        <w:ind w:left="709" w:hanging="283"/>
        <w:jc w:val="both"/>
      </w:pPr>
      <w:r w:rsidRPr="007139EB">
        <w:t xml:space="preserve">cechy powodujące, że wyrób nie jest bezpieczny, </w:t>
      </w:r>
    </w:p>
    <w:p w:rsidR="007139EB" w:rsidRPr="007139EB" w:rsidRDefault="007139EB" w:rsidP="004670DB">
      <w:pPr>
        <w:widowControl w:val="0"/>
        <w:numPr>
          <w:ilvl w:val="0"/>
          <w:numId w:val="11"/>
        </w:numPr>
        <w:tabs>
          <w:tab w:val="left" w:pos="709"/>
        </w:tabs>
        <w:suppressAutoHyphens/>
        <w:autoSpaceDE w:val="0"/>
        <w:ind w:left="709" w:hanging="283"/>
        <w:jc w:val="both"/>
      </w:pPr>
      <w:r w:rsidRPr="007139EB">
        <w:rPr>
          <w:bCs/>
        </w:rPr>
        <w:t xml:space="preserve">brak w oznaczeniu produktu lub jego instrukcji informacji istotnych z punktu widzenia  bezpieczeństwa, </w:t>
      </w:r>
    </w:p>
    <w:p w:rsidR="007139EB" w:rsidRPr="007139EB" w:rsidRDefault="007139EB" w:rsidP="004670DB">
      <w:pPr>
        <w:widowControl w:val="0"/>
        <w:numPr>
          <w:ilvl w:val="0"/>
          <w:numId w:val="11"/>
        </w:numPr>
        <w:tabs>
          <w:tab w:val="left" w:pos="709"/>
        </w:tabs>
        <w:suppressAutoHyphens/>
        <w:autoSpaceDE w:val="0"/>
        <w:ind w:left="709" w:hanging="283"/>
        <w:jc w:val="both"/>
      </w:pPr>
      <w:r w:rsidRPr="007139EB">
        <w:t>brak bądź niepełną instrukcję użytkowania.</w:t>
      </w:r>
    </w:p>
    <w:p w:rsidR="007139EB" w:rsidRPr="007139EB" w:rsidRDefault="007139EB" w:rsidP="007139EB">
      <w:pPr>
        <w:widowControl w:val="0"/>
        <w:tabs>
          <w:tab w:val="left" w:pos="709"/>
        </w:tabs>
        <w:suppressAutoHyphens/>
        <w:autoSpaceDE w:val="0"/>
        <w:ind w:left="709"/>
        <w:jc w:val="both"/>
      </w:pPr>
    </w:p>
    <w:p w:rsidR="007139EB" w:rsidRPr="007139EB" w:rsidRDefault="007139EB" w:rsidP="007139EB">
      <w:pPr>
        <w:ind w:firstLine="708"/>
        <w:jc w:val="both"/>
        <w:rPr>
          <w:rFonts w:eastAsia="Calibri"/>
          <w:lang w:eastAsia="en-US"/>
        </w:rPr>
      </w:pPr>
      <w:r w:rsidRPr="007139EB">
        <w:rPr>
          <w:rFonts w:eastAsia="Calibri"/>
          <w:lang w:eastAsia="en-US"/>
        </w:rPr>
        <w:t xml:space="preserve">Przeprowadzono </w:t>
      </w:r>
      <w:r w:rsidRPr="007139EB">
        <w:rPr>
          <w:rFonts w:eastAsia="Calibri"/>
          <w:b/>
          <w:lang w:eastAsia="en-US"/>
        </w:rPr>
        <w:t xml:space="preserve">4 kontrole, </w:t>
      </w:r>
      <w:r w:rsidRPr="007139EB">
        <w:rPr>
          <w:rFonts w:eastAsia="Calibri"/>
          <w:lang w:eastAsia="en-US"/>
        </w:rPr>
        <w:t xml:space="preserve">w toku których sprawdzono </w:t>
      </w:r>
      <w:r w:rsidRPr="007139EB">
        <w:rPr>
          <w:rFonts w:eastAsia="Calibri"/>
          <w:b/>
          <w:lang w:eastAsia="en-US"/>
        </w:rPr>
        <w:t xml:space="preserve">19 partii drabin </w:t>
      </w:r>
      <w:r w:rsidRPr="007139EB">
        <w:rPr>
          <w:rFonts w:eastAsia="Calibri"/>
          <w:lang w:eastAsia="en-US"/>
        </w:rPr>
        <w:t xml:space="preserve">tj. 6 partii drabin produkcji krajowej, 11 partii – pochodzących z pozostałych krajów UE oraz 2 partie drabin z importu. Nieprawidłowości polegały na: niewłaściwych wymiarach poręczy znajdujących się na szczycie drabin (2 partie), niewłaściwym oznaczeniu drabin (brak: piktogramów przedstawiających w sposób graficzny warunki bezpiecznego użytkowania wyrobu, brak miesiąca i roku produkcji lub numeru seryjnego drabiny), braku instrukcji użytkowania wyrobu dołączonych do wyrobów informacji dotyczących: zasad bezpiecznego użytkowania drabin, ich właściwego magazynowania, konserwacji stwierdzono we wszystkich kontrolowanych placówkach, w których zakwestionowano łącznie </w:t>
      </w:r>
      <w:r w:rsidRPr="007139EB">
        <w:rPr>
          <w:rFonts w:eastAsia="Calibri"/>
          <w:b/>
          <w:lang w:eastAsia="en-US"/>
        </w:rPr>
        <w:t>12 partii</w:t>
      </w:r>
      <w:r w:rsidRPr="007139EB">
        <w:rPr>
          <w:rFonts w:eastAsia="Calibri"/>
          <w:lang w:eastAsia="en-US"/>
        </w:rPr>
        <w:t xml:space="preserve"> drabin.</w:t>
      </w:r>
    </w:p>
    <w:p w:rsidR="007139EB" w:rsidRPr="007139EB" w:rsidRDefault="007139EB" w:rsidP="007139EB">
      <w:pPr>
        <w:ind w:left="720"/>
        <w:contextualSpacing/>
        <w:jc w:val="both"/>
        <w:rPr>
          <w:rFonts w:eastAsia="Calibri"/>
          <w:lang w:eastAsia="en-US"/>
        </w:rPr>
      </w:pPr>
    </w:p>
    <w:p w:rsidR="007139EB" w:rsidRPr="007139EB" w:rsidRDefault="007139EB" w:rsidP="007139EB">
      <w:pPr>
        <w:ind w:firstLine="709"/>
        <w:jc w:val="both"/>
        <w:rPr>
          <w:rFonts w:eastAsia="Calibri"/>
          <w:b/>
          <w:lang w:eastAsia="en-US"/>
        </w:rPr>
      </w:pPr>
      <w:r w:rsidRPr="007139EB">
        <w:rPr>
          <w:rFonts w:eastAsia="Calibri"/>
          <w:lang w:eastAsia="en-US"/>
        </w:rPr>
        <w:t xml:space="preserve">Realizując temat bezpieczeństwa mebli ogrodowych przeprowadzono </w:t>
      </w:r>
      <w:r w:rsidRPr="007139EB">
        <w:rPr>
          <w:rFonts w:eastAsia="Calibri"/>
          <w:b/>
          <w:lang w:eastAsia="en-US"/>
        </w:rPr>
        <w:t>10 kontroli,</w:t>
      </w:r>
      <w:r w:rsidRPr="007139EB">
        <w:rPr>
          <w:rFonts w:eastAsia="Calibri"/>
          <w:lang w:eastAsia="en-US"/>
        </w:rPr>
        <w:t xml:space="preserve"> w toku których sprawdzono </w:t>
      </w:r>
      <w:r w:rsidRPr="007139EB">
        <w:rPr>
          <w:rFonts w:eastAsia="Calibri"/>
          <w:b/>
          <w:lang w:eastAsia="en-US"/>
        </w:rPr>
        <w:t>42 partie</w:t>
      </w:r>
      <w:r w:rsidRPr="007139EB">
        <w:rPr>
          <w:rFonts w:eastAsia="Calibri"/>
          <w:lang w:eastAsia="en-US"/>
        </w:rPr>
        <w:t xml:space="preserve"> (krzeseł, foteli, ławek, stołów, huśtawek, leżaków). , w tym 24 partie mebli produkcji krajowej, 5 partii – pochodzących z pozostałych krajów UE oraz 13 partii mebli z importu. W </w:t>
      </w:r>
      <w:r w:rsidRPr="007139EB">
        <w:rPr>
          <w:rFonts w:eastAsia="Calibri"/>
          <w:b/>
          <w:lang w:eastAsia="en-US"/>
        </w:rPr>
        <w:t>5 skontrolowanych placówkach,</w:t>
      </w:r>
      <w:r w:rsidRPr="007139EB">
        <w:rPr>
          <w:rFonts w:eastAsia="Calibri"/>
          <w:lang w:eastAsia="en-US"/>
        </w:rPr>
        <w:t xml:space="preserve"> zakwestionowano </w:t>
      </w:r>
      <w:r w:rsidRPr="007139EB">
        <w:rPr>
          <w:rFonts w:eastAsia="Calibri"/>
          <w:b/>
          <w:lang w:eastAsia="en-US"/>
        </w:rPr>
        <w:t>17 partii</w:t>
      </w:r>
      <w:r w:rsidRPr="007139EB">
        <w:rPr>
          <w:rFonts w:eastAsia="Calibri"/>
          <w:lang w:eastAsia="en-US"/>
        </w:rPr>
        <w:t xml:space="preserve"> mebli z uwagi na:</w:t>
      </w:r>
      <w:r w:rsidRPr="007139EB">
        <w:rPr>
          <w:rFonts w:eastAsia="Calibri"/>
          <w:b/>
          <w:lang w:eastAsia="en-US"/>
        </w:rPr>
        <w:t xml:space="preserve"> </w:t>
      </w:r>
      <w:r w:rsidRPr="007139EB">
        <w:rPr>
          <w:rFonts w:eastAsia="Calibri"/>
          <w:lang w:eastAsia="en-US"/>
        </w:rPr>
        <w:t>występowanie w krzesłach pod siedziskiem w ich tylnych częściach ostrych wystających zadziorów powstałych podczas produkcji wyrobów (7 partii krzeseł)</w:t>
      </w:r>
      <w:r w:rsidRPr="007139EB">
        <w:rPr>
          <w:rFonts w:eastAsia="Calibri"/>
          <w:b/>
          <w:lang w:eastAsia="en-US"/>
        </w:rPr>
        <w:t xml:space="preserve">, </w:t>
      </w:r>
      <w:r w:rsidRPr="007139EB">
        <w:rPr>
          <w:rFonts w:eastAsia="Calibri"/>
          <w:lang w:eastAsia="en-US"/>
        </w:rPr>
        <w:t>niewłaściwym oznaczeniu mebli ogrodowych (brak nazwy i adresu producenta),</w:t>
      </w:r>
      <w:r w:rsidRPr="007139EB">
        <w:rPr>
          <w:rFonts w:eastAsia="Calibri"/>
          <w:b/>
          <w:lang w:eastAsia="en-US"/>
        </w:rPr>
        <w:t xml:space="preserve"> </w:t>
      </w:r>
      <w:r w:rsidRPr="007139EB">
        <w:rPr>
          <w:rFonts w:eastAsia="Calibri"/>
          <w:lang w:eastAsia="en-US"/>
        </w:rPr>
        <w:t>braku instrukcji użytkowania oraz dołączonych do wyrobów informacji dotyczących składania i rozkładania foteli ogrodowych, zasad właściwego magazynowania i  konserwacji mebli.</w:t>
      </w:r>
    </w:p>
    <w:p w:rsidR="007139EB" w:rsidRPr="007139EB" w:rsidRDefault="007139EB" w:rsidP="007139EB">
      <w:pPr>
        <w:ind w:left="720"/>
        <w:contextualSpacing/>
        <w:jc w:val="both"/>
        <w:rPr>
          <w:rFonts w:ascii="Calibri" w:eastAsia="Calibri" w:hAnsi="Calibri"/>
          <w:lang w:eastAsia="en-US"/>
        </w:rPr>
      </w:pPr>
    </w:p>
    <w:p w:rsidR="007139EB" w:rsidRPr="007139EB" w:rsidRDefault="007139EB" w:rsidP="007139EB">
      <w:pPr>
        <w:ind w:firstLine="708"/>
        <w:jc w:val="both"/>
        <w:rPr>
          <w:rFonts w:eastAsia="Calibri"/>
          <w:lang w:eastAsia="en-US"/>
        </w:rPr>
      </w:pPr>
      <w:r w:rsidRPr="007139EB">
        <w:rPr>
          <w:rFonts w:eastAsia="Calibri"/>
          <w:b/>
          <w:lang w:eastAsia="en-US"/>
        </w:rPr>
        <w:t>34 partie artykułów wyposażenia samochodowego</w:t>
      </w:r>
      <w:r w:rsidRPr="007139EB">
        <w:rPr>
          <w:rFonts w:eastAsia="Calibri"/>
          <w:lang w:eastAsia="en-US"/>
        </w:rPr>
        <w:t xml:space="preserve"> (linki holownicze, uchwyty do przewożenia rowerów, pasy mocujące ładunki) poddano sprawdzeniu podczas </w:t>
      </w:r>
      <w:r w:rsidRPr="007139EB">
        <w:rPr>
          <w:rFonts w:eastAsia="Calibri"/>
          <w:b/>
          <w:lang w:eastAsia="en-US"/>
        </w:rPr>
        <w:t xml:space="preserve"> 8 kontroli. </w:t>
      </w:r>
      <w:r w:rsidRPr="007139EB">
        <w:rPr>
          <w:rFonts w:eastAsia="Calibri"/>
          <w:lang w:eastAsia="en-US"/>
        </w:rPr>
        <w:t xml:space="preserve">Nieprawidłowości stwierdzono w </w:t>
      </w:r>
      <w:r w:rsidRPr="007139EB">
        <w:rPr>
          <w:rFonts w:eastAsia="Calibri"/>
          <w:b/>
          <w:lang w:eastAsia="en-US"/>
        </w:rPr>
        <w:t>5 kontrolowanych placówkach,</w:t>
      </w:r>
      <w:r w:rsidRPr="007139EB">
        <w:rPr>
          <w:rFonts w:eastAsia="Calibri"/>
          <w:lang w:eastAsia="en-US"/>
        </w:rPr>
        <w:t xml:space="preserve"> w których zakwestionowano </w:t>
      </w:r>
      <w:r w:rsidRPr="007139EB">
        <w:rPr>
          <w:rFonts w:eastAsia="Calibri"/>
          <w:b/>
          <w:lang w:eastAsia="en-US"/>
        </w:rPr>
        <w:t>15 partii</w:t>
      </w:r>
      <w:r w:rsidRPr="007139EB">
        <w:rPr>
          <w:rFonts w:eastAsia="Calibri"/>
          <w:lang w:eastAsia="en-US"/>
        </w:rPr>
        <w:t xml:space="preserve"> z uwagi na: niewłaściwe oznaczenie wyrobów (brak adresu producenta), braku instrukcji użytkowania, braku w instrukcjach dołączonych do wyrobów informacji dotyczących zasad bezpiecznego użytkowania i konserwacji oraz braku informacji o długości linki, braku w instrukcjach dołączonych do linek holowniczych informacji opisujących w szerszym zakresie sposób mocowania linki oraz technikę holowania w odniesieniu do pojazdów: holującego i holowanego, braku w instrukcjach dołączonych do linek holowniczych informacji w języku polskim dotyczących linki, sposobu jej użytkowania, zaopatrzenia w haki , flagę ostrzegawczą. </w:t>
      </w:r>
    </w:p>
    <w:p w:rsidR="007139EB" w:rsidRPr="007139EB" w:rsidRDefault="007139EB" w:rsidP="007139EB">
      <w:pPr>
        <w:ind w:firstLine="708"/>
        <w:jc w:val="both"/>
        <w:rPr>
          <w:rFonts w:eastAsia="Calibri"/>
          <w:lang w:eastAsia="en-US"/>
        </w:rPr>
      </w:pPr>
    </w:p>
    <w:p w:rsidR="007139EB" w:rsidRPr="007139EB" w:rsidRDefault="007139EB" w:rsidP="007139EB">
      <w:pPr>
        <w:suppressAutoHyphens/>
        <w:ind w:right="-312" w:firstLine="708"/>
        <w:jc w:val="both"/>
        <w:rPr>
          <w:rFonts w:eastAsia="Calibri"/>
          <w:lang w:eastAsia="zh-CN"/>
        </w:rPr>
      </w:pPr>
      <w:r w:rsidRPr="007139EB">
        <w:rPr>
          <w:rFonts w:eastAsia="Times New Roman"/>
          <w:lang w:eastAsia="zh-CN"/>
        </w:rPr>
        <w:t>R</w:t>
      </w:r>
      <w:r w:rsidRPr="007139EB">
        <w:rPr>
          <w:rFonts w:eastAsia="Times New Roman"/>
          <w:szCs w:val="20"/>
          <w:lang w:eastAsia="zh-CN"/>
        </w:rPr>
        <w:t>ealizując program kontroli</w:t>
      </w:r>
      <w:r w:rsidRPr="007139EB">
        <w:rPr>
          <w:rFonts w:eastAsia="HG Mincho Light J"/>
          <w:szCs w:val="20"/>
          <w:lang w:eastAsia="ar-SA"/>
        </w:rPr>
        <w:t xml:space="preserve"> </w:t>
      </w:r>
      <w:r w:rsidRPr="007139EB">
        <w:rPr>
          <w:rFonts w:eastAsia="HG Mincho Light J"/>
          <w:b/>
          <w:szCs w:val="20"/>
          <w:lang w:eastAsia="ar-SA"/>
        </w:rPr>
        <w:t>bezpieczeństwa obuwia</w:t>
      </w:r>
      <w:r w:rsidRPr="007139EB">
        <w:rPr>
          <w:rFonts w:eastAsia="Times New Roman"/>
        </w:rPr>
        <w:t xml:space="preserve"> ze szczególnym uwzględnieniem produktów przeznaczonych dla małych dzieci, </w:t>
      </w:r>
      <w:r w:rsidRPr="007139EB">
        <w:rPr>
          <w:rFonts w:eastAsia="HG Mincho Light J"/>
          <w:szCs w:val="20"/>
          <w:lang w:eastAsia="ar-SA"/>
        </w:rPr>
        <w:t xml:space="preserve">przeprowadzono </w:t>
      </w:r>
      <w:r w:rsidRPr="007139EB">
        <w:rPr>
          <w:rFonts w:eastAsia="HG Mincho Light J"/>
          <w:b/>
          <w:szCs w:val="20"/>
          <w:lang w:eastAsia="ar-SA"/>
        </w:rPr>
        <w:t xml:space="preserve">11 kontroli, </w:t>
      </w:r>
      <w:r w:rsidRPr="007139EB">
        <w:rPr>
          <w:rFonts w:eastAsia="HG Mincho Light J"/>
          <w:szCs w:val="20"/>
          <w:lang w:eastAsia="ar-SA"/>
        </w:rPr>
        <w:t>podczas których ocenie</w:t>
      </w:r>
      <w:r w:rsidRPr="007139EB">
        <w:rPr>
          <w:rFonts w:eastAsia="HG Mincho Light J"/>
          <w:b/>
          <w:szCs w:val="20"/>
          <w:lang w:eastAsia="ar-SA"/>
        </w:rPr>
        <w:t xml:space="preserve"> </w:t>
      </w:r>
      <w:r w:rsidRPr="007139EB">
        <w:rPr>
          <w:rFonts w:eastAsia="Times New Roman"/>
        </w:rPr>
        <w:t xml:space="preserve">poddano </w:t>
      </w:r>
      <w:r w:rsidRPr="007139EB">
        <w:rPr>
          <w:rFonts w:eastAsia="Times New Roman"/>
          <w:b/>
        </w:rPr>
        <w:t>55 partii</w:t>
      </w:r>
      <w:r w:rsidRPr="007139EB">
        <w:rPr>
          <w:rFonts w:eastAsia="Times New Roman"/>
        </w:rPr>
        <w:t xml:space="preserve"> obuwia (w tym 38 partii obuwia dziecięcego). Nieprawidłowości stwierdzono u </w:t>
      </w:r>
      <w:r w:rsidRPr="007139EB">
        <w:rPr>
          <w:rFonts w:eastAsia="Times New Roman"/>
          <w:b/>
        </w:rPr>
        <w:t>8 przedsiębiorców</w:t>
      </w:r>
      <w:r w:rsidRPr="007139EB">
        <w:rPr>
          <w:rFonts w:eastAsia="Times New Roman"/>
        </w:rPr>
        <w:t xml:space="preserve">. Ustalono m.in., że oznakowanie obuwia nie zawierało: </w:t>
      </w:r>
      <w:r w:rsidRPr="007139EB">
        <w:rPr>
          <w:rFonts w:eastAsia="Calibri"/>
          <w:lang w:eastAsia="zh-CN"/>
        </w:rPr>
        <w:t xml:space="preserve">nazwy i adresu producenta, nazwy producenta/importera, informacji o rodzaju użytych materiałów, z których wykonane zostały poszczególne części obuwia, oznaczenia identyfikującego produkt,  wykonane było wyłącznie w języku obcym. Ponadto w trakcie </w:t>
      </w:r>
      <w:r w:rsidRPr="007139EB">
        <w:rPr>
          <w:rFonts w:eastAsia="Calibri"/>
          <w:lang w:eastAsia="zh-CN"/>
        </w:rPr>
        <w:lastRenderedPageBreak/>
        <w:t>kontroli stwierdzono nie uwidocznienie informacji  o znaczeniu piktogramów użytych w oznakowaniu obuwia oraz naruszenie przepisów w zakresie informowania o cenach. Nie stwierdzono obuwia zagrażającego bezpieczeństwu użytkowników.</w:t>
      </w:r>
    </w:p>
    <w:p w:rsidR="007139EB" w:rsidRPr="007139EB" w:rsidRDefault="007139EB" w:rsidP="007139EB">
      <w:pPr>
        <w:suppressAutoHyphens/>
        <w:ind w:left="720"/>
        <w:jc w:val="both"/>
        <w:rPr>
          <w:rFonts w:eastAsia="Calibri"/>
          <w:lang w:eastAsia="zh-CN"/>
        </w:rPr>
      </w:pPr>
    </w:p>
    <w:p w:rsidR="007139EB" w:rsidRPr="007139EB" w:rsidRDefault="007139EB" w:rsidP="007139EB">
      <w:pPr>
        <w:ind w:firstLine="708"/>
        <w:jc w:val="both"/>
        <w:rPr>
          <w:rFonts w:eastAsia="Calibri"/>
          <w:lang w:eastAsia="en-US"/>
        </w:rPr>
      </w:pPr>
      <w:r w:rsidRPr="007139EB">
        <w:rPr>
          <w:rFonts w:eastAsia="Calibri"/>
          <w:b/>
          <w:lang w:eastAsia="en-US"/>
        </w:rPr>
        <w:t xml:space="preserve">Bezpieczeństwo produktów powszechnego użytku oferowanych w niskich cenach </w:t>
      </w:r>
      <w:r w:rsidRPr="007139EB">
        <w:rPr>
          <w:rFonts w:eastAsia="Calibri"/>
          <w:lang w:eastAsia="en-US"/>
        </w:rPr>
        <w:t xml:space="preserve">badano podczas </w:t>
      </w:r>
      <w:r w:rsidRPr="007139EB">
        <w:rPr>
          <w:rFonts w:eastAsia="Calibri"/>
          <w:b/>
          <w:lang w:eastAsia="en-US"/>
        </w:rPr>
        <w:t>13 kontroli, s</w:t>
      </w:r>
      <w:r w:rsidRPr="007139EB">
        <w:rPr>
          <w:rFonts w:eastAsia="Calibri"/>
          <w:lang w:eastAsia="en-US"/>
        </w:rPr>
        <w:t xml:space="preserve">prawdzeniem obejmując </w:t>
      </w:r>
      <w:r w:rsidRPr="007139EB">
        <w:rPr>
          <w:rFonts w:eastAsia="Calibri"/>
          <w:b/>
          <w:lang w:eastAsia="en-US"/>
        </w:rPr>
        <w:t>65 partii</w:t>
      </w:r>
      <w:r w:rsidRPr="007139EB">
        <w:rPr>
          <w:rFonts w:eastAsia="Calibri"/>
          <w:lang w:eastAsia="en-US"/>
        </w:rPr>
        <w:t xml:space="preserve"> wyrobów. Celem kontroli była ocena bezpieczeństwa produktów powszechnego użytku oferowanych w niskich cenach i eliminowanie z rynku produktów które mogą stwarzać zagrożenie dla zdrowia i życia użytkowników, sprawdzenie legalności działalności gospodarczej, kontrola przestrzegania przepisów dotyczących uwidaczniania cen, sprawdzenie czy w ofercie handlowej znajdują się wyroby objęte systemem RAPEX oraz kontrola przestrzegania przepisów ustawy z dnia 07.10.1999 r. o języku polskim. Kontrolowano artykuły gospodarstwa domowego takie jak: </w:t>
      </w:r>
      <w:r w:rsidRPr="007139EB">
        <w:rPr>
          <w:rFonts w:eastAsia="Calibri"/>
          <w:bCs/>
          <w:iCs/>
          <w:lang w:eastAsia="en-US"/>
        </w:rPr>
        <w:t xml:space="preserve">tłuczki do ziemniaków, lejki, </w:t>
      </w:r>
      <w:proofErr w:type="spellStart"/>
      <w:r w:rsidRPr="007139EB">
        <w:rPr>
          <w:rFonts w:eastAsia="Calibri"/>
          <w:bCs/>
          <w:iCs/>
          <w:lang w:eastAsia="en-US"/>
        </w:rPr>
        <w:t>ociekacze</w:t>
      </w:r>
      <w:proofErr w:type="spellEnd"/>
      <w:r w:rsidRPr="007139EB">
        <w:rPr>
          <w:rFonts w:eastAsia="Calibri"/>
          <w:bCs/>
          <w:iCs/>
          <w:lang w:eastAsia="en-US"/>
        </w:rPr>
        <w:t xml:space="preserve"> do sztućców, </w:t>
      </w:r>
      <w:proofErr w:type="spellStart"/>
      <w:r w:rsidRPr="007139EB">
        <w:rPr>
          <w:rFonts w:eastAsia="Calibri"/>
          <w:bCs/>
          <w:iCs/>
          <w:lang w:eastAsia="en-US"/>
        </w:rPr>
        <w:t>wykrawaczki</w:t>
      </w:r>
      <w:proofErr w:type="spellEnd"/>
      <w:r w:rsidRPr="007139EB">
        <w:rPr>
          <w:rFonts w:eastAsia="Calibri"/>
          <w:bCs/>
          <w:iCs/>
          <w:lang w:eastAsia="en-US"/>
        </w:rPr>
        <w:t xml:space="preserve"> do ciastek, łopatki do sera, szatkownice, patelnie, </w:t>
      </w:r>
      <w:proofErr w:type="spellStart"/>
      <w:r w:rsidRPr="007139EB">
        <w:rPr>
          <w:rFonts w:eastAsia="Calibri"/>
          <w:bCs/>
          <w:iCs/>
          <w:lang w:eastAsia="en-US"/>
        </w:rPr>
        <w:t>pierogownice</w:t>
      </w:r>
      <w:proofErr w:type="spellEnd"/>
      <w:r w:rsidRPr="007139EB">
        <w:rPr>
          <w:rFonts w:eastAsia="Calibri"/>
          <w:bCs/>
          <w:iCs/>
          <w:lang w:eastAsia="en-US"/>
        </w:rPr>
        <w:t>, obieraczki do warzyw, nożyki kuchenne, sitka do herbaty, blachy do pieczenia oraz foremki do pieczenia.</w:t>
      </w:r>
      <w:r w:rsidRPr="007139EB">
        <w:rPr>
          <w:rFonts w:eastAsia="Calibri"/>
          <w:lang w:eastAsia="en-US"/>
        </w:rPr>
        <w:t xml:space="preserve"> Nieprawidłowości stwierdzono podczas </w:t>
      </w:r>
      <w:r w:rsidRPr="007139EB">
        <w:rPr>
          <w:rFonts w:eastAsia="Calibri"/>
          <w:b/>
          <w:lang w:eastAsia="en-US"/>
        </w:rPr>
        <w:t>10 kontroli</w:t>
      </w:r>
      <w:r w:rsidRPr="007139EB">
        <w:rPr>
          <w:rFonts w:eastAsia="Calibri"/>
          <w:lang w:eastAsia="en-US"/>
        </w:rPr>
        <w:t xml:space="preserve">, co stanowi 77% objętych kontrolą. Zakwestionowano ogółem </w:t>
      </w:r>
      <w:r w:rsidRPr="007139EB">
        <w:rPr>
          <w:rFonts w:eastAsia="Calibri"/>
          <w:b/>
          <w:lang w:eastAsia="en-US"/>
        </w:rPr>
        <w:t>34 partie</w:t>
      </w:r>
      <w:r w:rsidRPr="007139EB">
        <w:rPr>
          <w:rFonts w:eastAsia="Calibri"/>
          <w:lang w:eastAsia="en-US"/>
        </w:rPr>
        <w:t xml:space="preserve"> wyrobów z uwagi na niewłaściwe oznakowanie oraz nie dołączanie instrukcji obsługi w języku polskim - 52% zbadanych. </w:t>
      </w:r>
    </w:p>
    <w:p w:rsidR="007139EB" w:rsidRPr="007139EB" w:rsidRDefault="007139EB" w:rsidP="007139EB">
      <w:pPr>
        <w:ind w:firstLine="708"/>
        <w:jc w:val="both"/>
        <w:rPr>
          <w:rFonts w:ascii="Palatino Linotype" w:eastAsia="Calibri" w:hAnsi="Palatino Linotype"/>
          <w:lang w:eastAsia="en-US"/>
        </w:rPr>
      </w:pPr>
      <w:r w:rsidRPr="007139EB">
        <w:rPr>
          <w:rFonts w:ascii="Palatino Linotype" w:eastAsia="Calibri" w:hAnsi="Palatino Linotype"/>
          <w:lang w:eastAsia="en-US"/>
        </w:rPr>
        <w:t xml:space="preserve"> </w:t>
      </w:r>
    </w:p>
    <w:p w:rsidR="007139EB" w:rsidRPr="007139EB" w:rsidRDefault="007139EB" w:rsidP="007139EB">
      <w:pPr>
        <w:ind w:firstLine="708"/>
        <w:jc w:val="both"/>
        <w:rPr>
          <w:rFonts w:eastAsia="Calibri"/>
          <w:b/>
          <w:lang w:eastAsia="en-US"/>
        </w:rPr>
      </w:pPr>
      <w:r w:rsidRPr="007139EB">
        <w:rPr>
          <w:rFonts w:eastAsia="Calibri"/>
          <w:lang w:eastAsia="en-US"/>
        </w:rPr>
        <w:t xml:space="preserve">Przeprowadzono kontrole </w:t>
      </w:r>
      <w:r w:rsidRPr="007139EB">
        <w:rPr>
          <w:rFonts w:eastAsia="Calibri"/>
          <w:b/>
          <w:lang w:eastAsia="en-US"/>
        </w:rPr>
        <w:t>9 przedsiębiorców</w:t>
      </w:r>
      <w:r w:rsidRPr="007139EB">
        <w:rPr>
          <w:rFonts w:eastAsia="Calibri"/>
          <w:lang w:eastAsia="en-US"/>
        </w:rPr>
        <w:t xml:space="preserve">, celem których była ocena bezpieczeństwa produktów służących do termicznej obróbki żywności w zakresie cech konstrukcyjnych, jak również instrukcji obsługi i oznaczenia pochodzenia produktu oraz sprawdzenie legalności działalności gospodarczej i prawidłowość uwidocznienia cen. Kontrolą objęto </w:t>
      </w:r>
      <w:r w:rsidRPr="007139EB">
        <w:rPr>
          <w:rFonts w:eastAsia="Calibri"/>
          <w:b/>
          <w:lang w:eastAsia="en-US"/>
        </w:rPr>
        <w:t>27 partii produktów</w:t>
      </w:r>
      <w:r w:rsidRPr="007139EB">
        <w:rPr>
          <w:rFonts w:eastAsia="Calibri"/>
          <w:lang w:eastAsia="en-US"/>
        </w:rPr>
        <w:t xml:space="preserve"> takich jak naczynia służące do termicznej obróbki żywności oraz naczynia kuchenne wykonane ze stali. Zakwestionowano </w:t>
      </w:r>
      <w:r w:rsidRPr="007139EB">
        <w:rPr>
          <w:rFonts w:eastAsia="Calibri"/>
          <w:b/>
          <w:lang w:eastAsia="en-US"/>
        </w:rPr>
        <w:t>8 partii wyrobów</w:t>
      </w:r>
      <w:r w:rsidRPr="007139EB">
        <w:rPr>
          <w:rFonts w:eastAsia="Calibri"/>
          <w:lang w:eastAsia="en-US"/>
        </w:rPr>
        <w:t xml:space="preserve">, co stanowi 30% zbadanych.  Nieprawidłowości stwierdzono w </w:t>
      </w:r>
      <w:r w:rsidRPr="007139EB">
        <w:rPr>
          <w:rFonts w:eastAsia="Calibri"/>
          <w:b/>
          <w:lang w:eastAsia="en-US"/>
        </w:rPr>
        <w:t>6 kontrolowanych podmiotach,</w:t>
      </w:r>
      <w:r w:rsidRPr="007139EB">
        <w:rPr>
          <w:rFonts w:eastAsia="Calibri"/>
          <w:lang w:eastAsia="en-US"/>
        </w:rPr>
        <w:t xml:space="preserve"> co stanowi 54% objętych sprawdzeniem.</w:t>
      </w:r>
      <w:r w:rsidRPr="007139EB">
        <w:rPr>
          <w:rFonts w:eastAsia="Calibri"/>
          <w:bCs/>
          <w:iCs/>
          <w:lang w:eastAsia="en-US"/>
        </w:rPr>
        <w:t xml:space="preserve"> Z uwagi na nieprawidłowe oznakowanie zakwestionowano </w:t>
      </w:r>
      <w:r w:rsidRPr="007139EB">
        <w:rPr>
          <w:rFonts w:eastAsia="Calibri"/>
          <w:b/>
          <w:bCs/>
          <w:iCs/>
          <w:lang w:eastAsia="en-US"/>
        </w:rPr>
        <w:t>7 partii</w:t>
      </w:r>
      <w:r w:rsidRPr="007139EB">
        <w:rPr>
          <w:rFonts w:eastAsia="Calibri"/>
          <w:bCs/>
          <w:iCs/>
          <w:lang w:eastAsia="en-US"/>
        </w:rPr>
        <w:t xml:space="preserve"> wyrobów, co stanowi 26% zbadanych . W zakresie </w:t>
      </w:r>
      <w:r w:rsidRPr="007139EB">
        <w:rPr>
          <w:rFonts w:eastAsia="Calibri"/>
          <w:lang w:eastAsia="en-US"/>
        </w:rPr>
        <w:t>odporności na szok cieplny materiałów kruchych przekazano 7 prób naczyń żaroodpornych</w:t>
      </w:r>
      <w:r w:rsidR="00EB650C">
        <w:rPr>
          <w:rFonts w:eastAsia="Calibri"/>
          <w:lang w:eastAsia="en-US"/>
        </w:rPr>
        <w:t xml:space="preserve"> do badań laboratoryjnych</w:t>
      </w:r>
      <w:r w:rsidRPr="007139EB">
        <w:rPr>
          <w:rFonts w:eastAsia="Calibri"/>
          <w:lang w:eastAsia="en-US"/>
        </w:rPr>
        <w:t xml:space="preserve">.  </w:t>
      </w:r>
      <w:r w:rsidRPr="007139EB">
        <w:rPr>
          <w:rFonts w:eastAsia="Calibri"/>
          <w:b/>
          <w:lang w:eastAsia="en-US"/>
        </w:rPr>
        <w:t>Jedna zbadana próbka</w:t>
      </w:r>
      <w:r w:rsidRPr="007139EB">
        <w:rPr>
          <w:rFonts w:eastAsia="Calibri"/>
          <w:lang w:eastAsia="en-US"/>
        </w:rPr>
        <w:t xml:space="preserve"> naczynia żaroodpornego przy różnicy temperatur </w:t>
      </w:r>
      <w:r w:rsidRPr="007139EB">
        <w:rPr>
          <w:rFonts w:eastAsia="Calibri"/>
          <w:lang w:eastAsia="en-US"/>
        </w:rPr>
        <w:sym w:font="Symbol" w:char="F0D1"/>
      </w:r>
      <w:r w:rsidRPr="007139EB">
        <w:rPr>
          <w:rFonts w:eastAsia="Calibri"/>
          <w:lang w:eastAsia="en-US"/>
        </w:rPr>
        <w:t>t =180</w:t>
      </w:r>
      <w:r w:rsidRPr="007139EB">
        <w:rPr>
          <w:rFonts w:eastAsia="Calibri"/>
          <w:lang w:eastAsia="en-US"/>
        </w:rPr>
        <w:sym w:font="Symbol" w:char="F0B0"/>
      </w:r>
      <w:r w:rsidRPr="007139EB">
        <w:rPr>
          <w:rFonts w:eastAsia="Calibri"/>
          <w:lang w:eastAsia="en-US"/>
        </w:rPr>
        <w:t>C ( temperatura pieca  t=200</w:t>
      </w:r>
      <w:r w:rsidRPr="007139EB">
        <w:rPr>
          <w:rFonts w:eastAsia="Calibri"/>
          <w:lang w:eastAsia="en-US"/>
        </w:rPr>
        <w:sym w:font="Symbol" w:char="F0B0"/>
      </w:r>
      <w:r w:rsidRPr="007139EB">
        <w:rPr>
          <w:rFonts w:eastAsia="Calibri"/>
          <w:lang w:eastAsia="en-US"/>
        </w:rPr>
        <w:t>C, temperatura wody t=20</w:t>
      </w:r>
      <w:r w:rsidRPr="007139EB">
        <w:rPr>
          <w:rFonts w:eastAsia="Calibri"/>
          <w:lang w:eastAsia="en-US"/>
        </w:rPr>
        <w:sym w:font="Symbol" w:char="F0B0"/>
      </w:r>
      <w:r w:rsidRPr="007139EB">
        <w:rPr>
          <w:rFonts w:eastAsia="Calibri"/>
          <w:lang w:eastAsia="en-US"/>
        </w:rPr>
        <w:t xml:space="preserve">C) </w:t>
      </w:r>
      <w:r w:rsidRPr="007139EB">
        <w:rPr>
          <w:rFonts w:eastAsia="Calibri"/>
          <w:b/>
          <w:lang w:eastAsia="en-US"/>
        </w:rPr>
        <w:t>uległa popękaniu</w:t>
      </w:r>
      <w:r w:rsidRPr="007139EB">
        <w:rPr>
          <w:rFonts w:eastAsia="Calibri"/>
          <w:lang w:eastAsia="en-US"/>
        </w:rPr>
        <w:t>. N</w:t>
      </w:r>
      <w:r w:rsidRPr="007139EB">
        <w:rPr>
          <w:rFonts w:eastAsia="Calibri"/>
          <w:bCs/>
          <w:iCs/>
          <w:lang w:eastAsia="en-US"/>
        </w:rPr>
        <w:t xml:space="preserve">aruszenie obowiązków uwidaczniania cen (brak uwidocznionych cen jednostkowych) stwierdzono w </w:t>
      </w:r>
      <w:r w:rsidRPr="007139EB">
        <w:rPr>
          <w:rFonts w:eastAsia="Calibri"/>
          <w:b/>
          <w:bCs/>
          <w:iCs/>
          <w:lang w:eastAsia="en-US"/>
        </w:rPr>
        <w:t>2 kontrolowanych podmiotach.</w:t>
      </w:r>
    </w:p>
    <w:p w:rsidR="007139EB" w:rsidRPr="007139EB" w:rsidRDefault="007139EB" w:rsidP="007139EB">
      <w:pPr>
        <w:ind w:firstLine="708"/>
        <w:jc w:val="both"/>
        <w:rPr>
          <w:rFonts w:eastAsia="Calibri"/>
          <w:b/>
          <w:lang w:eastAsia="en-US"/>
        </w:rPr>
      </w:pPr>
    </w:p>
    <w:p w:rsidR="007139EB" w:rsidRPr="007139EB" w:rsidRDefault="007139EB" w:rsidP="007139EB">
      <w:pPr>
        <w:ind w:firstLine="708"/>
        <w:jc w:val="both"/>
        <w:rPr>
          <w:rFonts w:eastAsia="Calibri"/>
          <w:lang w:eastAsia="en-US"/>
        </w:rPr>
      </w:pPr>
      <w:r w:rsidRPr="007139EB">
        <w:rPr>
          <w:rFonts w:eastAsia="Calibri"/>
          <w:lang w:eastAsia="en-US"/>
        </w:rPr>
        <w:t xml:space="preserve">Realizując program kontroli bezpieczeństwa </w:t>
      </w:r>
      <w:r w:rsidRPr="007139EB">
        <w:rPr>
          <w:rFonts w:eastAsia="Calibri"/>
          <w:b/>
          <w:lang w:eastAsia="en-US"/>
        </w:rPr>
        <w:t>odzieży sportowej dla dzieci</w:t>
      </w:r>
      <w:r w:rsidRPr="007139EB">
        <w:rPr>
          <w:rFonts w:eastAsia="Calibri"/>
          <w:lang w:eastAsia="en-US"/>
        </w:rPr>
        <w:t xml:space="preserve">  przeprowadzono 3 kontrole. Nieprawidłowości stwierdzono w </w:t>
      </w:r>
      <w:r w:rsidRPr="007139EB">
        <w:rPr>
          <w:rFonts w:eastAsia="Calibri"/>
          <w:b/>
          <w:lang w:eastAsia="en-US"/>
        </w:rPr>
        <w:t>2</w:t>
      </w:r>
      <w:r w:rsidRPr="007139EB">
        <w:rPr>
          <w:rFonts w:eastAsia="Calibri"/>
          <w:lang w:eastAsia="en-US"/>
        </w:rPr>
        <w:t xml:space="preserve"> placówkach, co stanowi 67%</w:t>
      </w:r>
      <w:r w:rsidRPr="007139EB">
        <w:rPr>
          <w:rFonts w:eastAsia="Calibri"/>
          <w:b/>
          <w:lang w:eastAsia="en-US"/>
        </w:rPr>
        <w:t xml:space="preserve"> </w:t>
      </w:r>
      <w:r w:rsidRPr="007139EB">
        <w:rPr>
          <w:rFonts w:eastAsia="Calibri"/>
          <w:lang w:eastAsia="en-US"/>
        </w:rPr>
        <w:t xml:space="preserve">ogółem skontrolowanych. Ocenie bezpieczeństwa poddano </w:t>
      </w:r>
      <w:r w:rsidRPr="007139EB">
        <w:rPr>
          <w:rFonts w:eastAsia="Calibri"/>
          <w:b/>
          <w:lang w:eastAsia="en-US"/>
        </w:rPr>
        <w:t>15 partii</w:t>
      </w:r>
      <w:r w:rsidRPr="007139EB">
        <w:rPr>
          <w:rFonts w:eastAsia="Calibri"/>
          <w:lang w:eastAsia="en-US"/>
        </w:rPr>
        <w:t xml:space="preserve"> odzieży sportowej dla dzieci. Zakwestionowano </w:t>
      </w:r>
      <w:r w:rsidRPr="007139EB">
        <w:rPr>
          <w:rFonts w:eastAsia="Calibri"/>
          <w:b/>
          <w:lang w:eastAsia="en-US"/>
        </w:rPr>
        <w:t>10 partii</w:t>
      </w:r>
      <w:r w:rsidRPr="007139EB">
        <w:rPr>
          <w:rFonts w:eastAsia="Calibri"/>
          <w:lang w:eastAsia="en-US"/>
        </w:rPr>
        <w:t xml:space="preserve"> wyrobów (67% zbadanych), w tym z  uwagi na nieprawidłowe oznakowanie (brak danych przedsiębiorcy wprowadzającego wyrób na rynek) zakwestionowano 8 partii wyrobów. W odniesieniu do </w:t>
      </w:r>
      <w:r w:rsidRPr="007139EB">
        <w:rPr>
          <w:rFonts w:eastAsia="Calibri"/>
          <w:b/>
          <w:lang w:eastAsia="en-US"/>
        </w:rPr>
        <w:t>5 partii</w:t>
      </w:r>
      <w:r w:rsidRPr="007139EB">
        <w:rPr>
          <w:rFonts w:eastAsia="Calibri"/>
          <w:lang w:eastAsia="en-US"/>
        </w:rPr>
        <w:t xml:space="preserve"> odzieży sportowej, przyjęto, iż istnieje prawdopodobieństwo, że ww. wyroby nie są produktami bezpiecznymi. </w:t>
      </w:r>
    </w:p>
    <w:p w:rsidR="007139EB" w:rsidRPr="007139EB" w:rsidRDefault="007139EB" w:rsidP="007139EB">
      <w:pPr>
        <w:ind w:firstLine="708"/>
        <w:jc w:val="both"/>
        <w:rPr>
          <w:rFonts w:ascii="Calibri" w:eastAsia="Calibri" w:hAnsi="Calibri"/>
          <w:lang w:eastAsia="en-US"/>
        </w:rPr>
      </w:pPr>
    </w:p>
    <w:p w:rsidR="007139EB" w:rsidRPr="007139EB" w:rsidRDefault="007139EB" w:rsidP="007139EB">
      <w:pPr>
        <w:ind w:firstLine="708"/>
        <w:jc w:val="both"/>
        <w:rPr>
          <w:rFonts w:eastAsia="Calibri"/>
          <w:lang w:eastAsia="en-US"/>
        </w:rPr>
      </w:pPr>
      <w:r w:rsidRPr="007139EB">
        <w:rPr>
          <w:rFonts w:eastAsia="Calibri"/>
          <w:lang w:eastAsia="en-US"/>
        </w:rPr>
        <w:t xml:space="preserve">W trakcie  </w:t>
      </w:r>
      <w:r w:rsidRPr="007139EB">
        <w:rPr>
          <w:rFonts w:eastAsia="Calibri"/>
          <w:b/>
          <w:lang w:eastAsia="en-US"/>
        </w:rPr>
        <w:t>9 kontroli</w:t>
      </w:r>
      <w:r w:rsidRPr="007139EB">
        <w:rPr>
          <w:rFonts w:eastAsia="Calibri"/>
          <w:lang w:eastAsia="en-US"/>
        </w:rPr>
        <w:t xml:space="preserve"> sprawdzono </w:t>
      </w:r>
      <w:r w:rsidRPr="007139EB">
        <w:rPr>
          <w:rFonts w:eastAsia="Calibri"/>
          <w:b/>
          <w:lang w:eastAsia="en-US"/>
        </w:rPr>
        <w:t xml:space="preserve">42 partie </w:t>
      </w:r>
      <w:r w:rsidRPr="007139EB">
        <w:rPr>
          <w:rFonts w:eastAsia="Calibri"/>
          <w:lang w:eastAsia="en-US"/>
        </w:rPr>
        <w:t xml:space="preserve">artykułów dla dzieci (smoczki do uspakajania, wyroby do mocowania smoczka, przewijaki niemowlęce, chodziki, wózki dziecięce, barierki bezpieczeństwa), z czego: 17 partii wyrobów produkcji krajowej, 17 partii pochodzących z pozostałych krajów UE oraz 8 partii - z importu. W </w:t>
      </w:r>
      <w:r w:rsidRPr="007139EB">
        <w:rPr>
          <w:rFonts w:eastAsia="Calibri"/>
          <w:b/>
          <w:lang w:eastAsia="en-US"/>
        </w:rPr>
        <w:t xml:space="preserve">7 placówkach </w:t>
      </w:r>
      <w:r w:rsidRPr="007139EB">
        <w:rPr>
          <w:rFonts w:eastAsia="Calibri"/>
          <w:lang w:eastAsia="en-US"/>
        </w:rPr>
        <w:t xml:space="preserve">zakwestionowano </w:t>
      </w:r>
      <w:r w:rsidRPr="007139EB">
        <w:rPr>
          <w:rFonts w:eastAsia="Calibri"/>
          <w:b/>
          <w:lang w:eastAsia="en-US"/>
        </w:rPr>
        <w:t>18 partii</w:t>
      </w:r>
      <w:r w:rsidRPr="007139EB">
        <w:rPr>
          <w:rFonts w:eastAsia="Calibri"/>
          <w:lang w:eastAsia="en-US"/>
        </w:rPr>
        <w:t xml:space="preserve"> wyrobów. Nieprawidłowości polegały na: niewłaściwym oznaczeniu art. dla dzieci (brak: danych identyfikujących wyrób, nazwy i adresu producenta/importera/dystrybutora, ostrzeżeń dotyczących bezpieczeństwa użytkowania, wymaganych informacji o cechach użytkowych wyrobu, numer i rok normy), braku w instrukcjach dołączonych do wyrobów ostrzeżeń i informacji dotyczących zasad </w:t>
      </w:r>
      <w:r w:rsidRPr="007139EB">
        <w:rPr>
          <w:rFonts w:eastAsia="Calibri"/>
          <w:lang w:eastAsia="en-US"/>
        </w:rPr>
        <w:lastRenderedPageBreak/>
        <w:t xml:space="preserve">właściwego użytkowania, magazynowania i konserwacji. Laboratoryjnie zbadano </w:t>
      </w:r>
      <w:r w:rsidRPr="007139EB">
        <w:rPr>
          <w:rFonts w:eastAsia="Calibri"/>
          <w:b/>
          <w:lang w:eastAsia="en-US"/>
        </w:rPr>
        <w:t>1 partię</w:t>
      </w:r>
      <w:r w:rsidRPr="007139EB">
        <w:rPr>
          <w:rFonts w:eastAsia="Calibri"/>
          <w:lang w:eastAsia="en-US"/>
        </w:rPr>
        <w:t xml:space="preserve"> wózków dziecięcych – nieprawidłowości nie stwierdzono.</w:t>
      </w:r>
    </w:p>
    <w:p w:rsidR="007139EB" w:rsidRPr="007139EB" w:rsidRDefault="007139EB" w:rsidP="007139EB">
      <w:pPr>
        <w:jc w:val="both"/>
      </w:pPr>
    </w:p>
    <w:p w:rsidR="007139EB" w:rsidRPr="007139EB" w:rsidRDefault="007139EB" w:rsidP="007139EB">
      <w:pPr>
        <w:ind w:firstLine="708"/>
        <w:jc w:val="both"/>
        <w:rPr>
          <w:rFonts w:ascii="Cambria" w:eastAsia="Times New Roman" w:hAnsi="Cambria"/>
        </w:rPr>
      </w:pPr>
      <w:r w:rsidRPr="007139EB">
        <w:rPr>
          <w:rFonts w:eastAsia="Times New Roman"/>
        </w:rPr>
        <w:t xml:space="preserve">Realizując własny program kontroli </w:t>
      </w:r>
      <w:r w:rsidRPr="007139EB">
        <w:rPr>
          <w:rFonts w:eastAsia="Times New Roman"/>
          <w:b/>
        </w:rPr>
        <w:t>prawidłowości oznakowania wyrobów włókienniczych</w:t>
      </w:r>
      <w:r w:rsidRPr="007139EB">
        <w:rPr>
          <w:rFonts w:eastAsia="Times New Roman"/>
        </w:rPr>
        <w:t xml:space="preserve"> przeprowadzono </w:t>
      </w:r>
      <w:r w:rsidRPr="007139EB">
        <w:rPr>
          <w:rFonts w:eastAsia="Times New Roman"/>
          <w:b/>
        </w:rPr>
        <w:t>15 kontroli</w:t>
      </w:r>
      <w:r w:rsidRPr="007139EB">
        <w:rPr>
          <w:rFonts w:eastAsia="Times New Roman"/>
        </w:rPr>
        <w:t xml:space="preserve">. Ocenie poddano łącznie </w:t>
      </w:r>
      <w:r w:rsidRPr="007139EB">
        <w:rPr>
          <w:rFonts w:eastAsia="Times New Roman"/>
          <w:b/>
        </w:rPr>
        <w:t>75 partii</w:t>
      </w:r>
      <w:r w:rsidRPr="007139EB">
        <w:rPr>
          <w:rFonts w:eastAsia="Times New Roman"/>
        </w:rPr>
        <w:t xml:space="preserve"> towarów takich jak: bielizna i wyroby pończosznicze przeznaczone dla dorosłych. Nieprawidłowości</w:t>
      </w:r>
      <w:r w:rsidRPr="007139EB">
        <w:rPr>
          <w:rFonts w:eastAsia="Times New Roman"/>
          <w:b/>
        </w:rPr>
        <w:t xml:space="preserve"> </w:t>
      </w:r>
      <w:r w:rsidRPr="007139EB">
        <w:rPr>
          <w:rFonts w:eastAsia="Times New Roman"/>
        </w:rPr>
        <w:t xml:space="preserve">w zakresie oznakowania stwierdzono w </w:t>
      </w:r>
      <w:r w:rsidRPr="007139EB">
        <w:rPr>
          <w:rFonts w:eastAsia="Times New Roman"/>
          <w:b/>
        </w:rPr>
        <w:t xml:space="preserve">6 </w:t>
      </w:r>
      <w:r w:rsidRPr="007139EB">
        <w:rPr>
          <w:rFonts w:eastAsia="Times New Roman"/>
        </w:rPr>
        <w:t>objętych sprawdzeniem placówkach (</w:t>
      </w:r>
      <w:r w:rsidRPr="007139EB">
        <w:rPr>
          <w:rFonts w:eastAsia="Times New Roman"/>
          <w:b/>
        </w:rPr>
        <w:t>40%</w:t>
      </w:r>
      <w:r w:rsidRPr="007139EB">
        <w:rPr>
          <w:rFonts w:eastAsia="Times New Roman"/>
        </w:rPr>
        <w:t xml:space="preserve">). Z uwagi na nieprawidłowe oznakowanie </w:t>
      </w:r>
      <w:r w:rsidRPr="007139EB">
        <w:rPr>
          <w:rFonts w:eastAsia="Times New Roman"/>
          <w:b/>
        </w:rPr>
        <w:t>zakwestionowano</w:t>
      </w:r>
      <w:r w:rsidRPr="007139EB">
        <w:rPr>
          <w:rFonts w:eastAsia="Times New Roman"/>
        </w:rPr>
        <w:t xml:space="preserve"> </w:t>
      </w:r>
      <w:r w:rsidRPr="007139EB">
        <w:rPr>
          <w:rFonts w:eastAsia="Times New Roman"/>
          <w:b/>
        </w:rPr>
        <w:t>łącznie 22 partie produktów</w:t>
      </w:r>
      <w:r w:rsidRPr="007139EB">
        <w:rPr>
          <w:rFonts w:eastAsia="Times New Roman"/>
        </w:rPr>
        <w:t xml:space="preserve"> włókienniczych, co stanowi </w:t>
      </w:r>
      <w:r w:rsidRPr="007139EB">
        <w:rPr>
          <w:rFonts w:eastAsia="Times New Roman"/>
          <w:b/>
        </w:rPr>
        <w:t xml:space="preserve">29% zbadanych. </w:t>
      </w:r>
      <w:r w:rsidRPr="007139EB">
        <w:rPr>
          <w:rFonts w:eastAsia="Times New Roman"/>
        </w:rPr>
        <w:t>Nieprawidłowości polegały na  nie zamieszczeniu informacji o nazwie i adresie producenta wyrobu oraz podaniu nieprawidłowych nazw włókien. We wszystkich kontrolowanych placówkach właściciele wycofali z obrotu zakwestionowane wyroby do czasu ich prawidłowego oznakowania</w:t>
      </w:r>
      <w:r w:rsidRPr="007139EB">
        <w:rPr>
          <w:rFonts w:ascii="Cambria" w:eastAsia="Times New Roman" w:hAnsi="Cambria"/>
        </w:rPr>
        <w:t>.</w:t>
      </w:r>
    </w:p>
    <w:p w:rsidR="007139EB" w:rsidRPr="007139EB" w:rsidRDefault="007139EB" w:rsidP="007139EB">
      <w:pPr>
        <w:rPr>
          <w:rFonts w:eastAsia="Times New Roman"/>
          <w:b/>
          <w:sz w:val="22"/>
          <w:szCs w:val="22"/>
        </w:rPr>
      </w:pPr>
      <w:r w:rsidRPr="007139EB">
        <w:rPr>
          <w:rFonts w:eastAsia="Times New Roman"/>
          <w:b/>
        </w:rPr>
        <w:tab/>
      </w:r>
    </w:p>
    <w:p w:rsidR="0066594D" w:rsidRDefault="0066594D" w:rsidP="0066594D">
      <w:pPr>
        <w:widowControl w:val="0"/>
        <w:tabs>
          <w:tab w:val="left" w:pos="1980"/>
        </w:tabs>
        <w:suppressAutoHyphens/>
        <w:autoSpaceDE w:val="0"/>
        <w:jc w:val="both"/>
        <w:rPr>
          <w:rFonts w:eastAsia="Times New Roman"/>
        </w:rPr>
      </w:pPr>
    </w:p>
    <w:p w:rsidR="0066594D" w:rsidRPr="007139EB" w:rsidRDefault="009D4707"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7139EB">
        <w:rPr>
          <w:rFonts w:eastAsia="Times New Roman"/>
          <w:b/>
        </w:rPr>
        <w:t>Jakość</w:t>
      </w:r>
      <w:r w:rsidR="0066594D" w:rsidRPr="007139EB">
        <w:rPr>
          <w:rFonts w:eastAsia="Times New Roman"/>
          <w:b/>
        </w:rPr>
        <w:t xml:space="preserve"> paliw</w:t>
      </w:r>
    </w:p>
    <w:p w:rsidR="007139EB" w:rsidRPr="007139EB" w:rsidRDefault="007139EB" w:rsidP="007139EB">
      <w:pPr>
        <w:widowControl w:val="0"/>
        <w:suppressAutoHyphens/>
        <w:ind w:firstLine="720"/>
        <w:jc w:val="both"/>
        <w:rPr>
          <w:rFonts w:eastAsia="HG Mincho Light J"/>
        </w:rPr>
      </w:pPr>
      <w:r w:rsidRPr="007139EB">
        <w:rPr>
          <w:rFonts w:eastAsia="HG Mincho Light J"/>
        </w:rPr>
        <w:t xml:space="preserve">W oparciu o uprawnienia wynikające z  ustawy z dnia 25 sierpnia 2006 roku o systemie monitorowania i kontrolowania jakości paliw (Dz. U. z 2016 r., poz. 1728 z </w:t>
      </w:r>
      <w:proofErr w:type="spellStart"/>
      <w:r w:rsidRPr="007139EB">
        <w:rPr>
          <w:rFonts w:eastAsia="HG Mincho Light J"/>
        </w:rPr>
        <w:t>późn</w:t>
      </w:r>
      <w:proofErr w:type="spellEnd"/>
      <w:r w:rsidRPr="007139EB">
        <w:rPr>
          <w:rFonts w:eastAsia="HG Mincho Light J"/>
        </w:rPr>
        <w:t xml:space="preserve">. zm.)  przeprowadzono ogółem </w:t>
      </w:r>
      <w:r w:rsidRPr="007139EB">
        <w:rPr>
          <w:rFonts w:eastAsia="HG Mincho Light J"/>
          <w:b/>
        </w:rPr>
        <w:t>80 kontroli w 68 podmiotach</w:t>
      </w:r>
      <w:r w:rsidRPr="007139EB">
        <w:rPr>
          <w:rFonts w:eastAsia="HG Mincho Light J"/>
        </w:rPr>
        <w:t>, z czego :</w:t>
      </w:r>
    </w:p>
    <w:p w:rsidR="007139EB" w:rsidRPr="007139EB" w:rsidRDefault="007139EB" w:rsidP="004670DB">
      <w:pPr>
        <w:widowControl w:val="0"/>
        <w:numPr>
          <w:ilvl w:val="0"/>
          <w:numId w:val="17"/>
        </w:numPr>
        <w:suppressAutoHyphens/>
        <w:jc w:val="both"/>
        <w:rPr>
          <w:rFonts w:eastAsia="HG Mincho Light J"/>
        </w:rPr>
      </w:pPr>
      <w:r w:rsidRPr="007139EB">
        <w:rPr>
          <w:rFonts w:eastAsia="HG Mincho Light J"/>
          <w:b/>
        </w:rPr>
        <w:t xml:space="preserve">70 kontroli </w:t>
      </w:r>
      <w:r w:rsidRPr="007139EB">
        <w:rPr>
          <w:rFonts w:eastAsia="HG Mincho Light J"/>
        </w:rPr>
        <w:t>w 63. ogólnodostępnych stacjach paliw,</w:t>
      </w:r>
    </w:p>
    <w:p w:rsidR="007139EB" w:rsidRPr="007139EB" w:rsidRDefault="007139EB" w:rsidP="004670DB">
      <w:pPr>
        <w:widowControl w:val="0"/>
        <w:numPr>
          <w:ilvl w:val="0"/>
          <w:numId w:val="17"/>
        </w:numPr>
        <w:suppressAutoHyphens/>
        <w:rPr>
          <w:rFonts w:eastAsia="HG Mincho Light J"/>
        </w:rPr>
      </w:pPr>
      <w:r w:rsidRPr="007139EB">
        <w:rPr>
          <w:rFonts w:eastAsia="HG Mincho Light J"/>
          <w:b/>
        </w:rPr>
        <w:t>3 kontrole</w:t>
      </w:r>
      <w:r w:rsidRPr="007139EB">
        <w:rPr>
          <w:rFonts w:eastAsia="HG Mincho Light J"/>
        </w:rPr>
        <w:t xml:space="preserve"> w  hurtowniach paliw należących do 3. przedsiębiorców,</w:t>
      </w:r>
    </w:p>
    <w:p w:rsidR="007139EB" w:rsidRPr="007139EB" w:rsidRDefault="007139EB" w:rsidP="004670DB">
      <w:pPr>
        <w:widowControl w:val="0"/>
        <w:numPr>
          <w:ilvl w:val="0"/>
          <w:numId w:val="17"/>
        </w:numPr>
        <w:suppressAutoHyphens/>
        <w:rPr>
          <w:rFonts w:eastAsia="HG Mincho Light J"/>
        </w:rPr>
      </w:pPr>
      <w:r w:rsidRPr="007139EB">
        <w:rPr>
          <w:rFonts w:eastAsia="HG Mincho Light J"/>
          <w:b/>
        </w:rPr>
        <w:t xml:space="preserve">7 kontroli </w:t>
      </w:r>
      <w:r w:rsidRPr="007139EB">
        <w:rPr>
          <w:rFonts w:eastAsia="HG Mincho Light J"/>
        </w:rPr>
        <w:t xml:space="preserve">w siedzibach  6. przedsiębiorców prowadzących obrót paliwami. </w:t>
      </w:r>
    </w:p>
    <w:p w:rsidR="007139EB" w:rsidRPr="007139EB" w:rsidRDefault="007139EB" w:rsidP="007139EB">
      <w:pPr>
        <w:widowControl w:val="0"/>
        <w:suppressAutoHyphens/>
        <w:ind w:firstLine="720"/>
        <w:jc w:val="both"/>
        <w:rPr>
          <w:rFonts w:eastAsia="HG Mincho Light J"/>
        </w:rPr>
      </w:pPr>
    </w:p>
    <w:p w:rsidR="007139EB" w:rsidRPr="007139EB" w:rsidRDefault="007139EB" w:rsidP="007139EB">
      <w:pPr>
        <w:widowControl w:val="0"/>
        <w:suppressAutoHyphens/>
        <w:jc w:val="both"/>
        <w:rPr>
          <w:rFonts w:eastAsia="HG Mincho Light J"/>
        </w:rPr>
      </w:pPr>
      <w:r w:rsidRPr="007139EB">
        <w:rPr>
          <w:rFonts w:eastAsia="HG Mincho Light J"/>
        </w:rPr>
        <w:t xml:space="preserve">W toku wszystkich kontroli zbadano łącznie </w:t>
      </w:r>
      <w:r w:rsidRPr="007139EB">
        <w:rPr>
          <w:rFonts w:eastAsia="HG Mincho Light J"/>
          <w:b/>
        </w:rPr>
        <w:t>74 próbki paliw</w:t>
      </w:r>
      <w:r w:rsidRPr="007139EB">
        <w:rPr>
          <w:rFonts w:eastAsia="HG Mincho Light J"/>
        </w:rPr>
        <w:t xml:space="preserve"> (34 próbki w systemie europejskim, 40  – pozostałe kontrole), w tym:</w:t>
      </w:r>
    </w:p>
    <w:p w:rsidR="007139EB" w:rsidRPr="007139EB" w:rsidRDefault="007139EB" w:rsidP="004670DB">
      <w:pPr>
        <w:widowControl w:val="0"/>
        <w:numPr>
          <w:ilvl w:val="0"/>
          <w:numId w:val="18"/>
        </w:numPr>
        <w:suppressAutoHyphens/>
        <w:jc w:val="both"/>
        <w:rPr>
          <w:rFonts w:eastAsia="HG Mincho Light J"/>
        </w:rPr>
      </w:pPr>
      <w:r w:rsidRPr="007139EB">
        <w:rPr>
          <w:rFonts w:eastAsia="HG Mincho Light J"/>
        </w:rPr>
        <w:t xml:space="preserve">benzyna bezołowiowa Pb 95     </w:t>
      </w:r>
      <w:r w:rsidRPr="007139EB">
        <w:rPr>
          <w:rFonts w:eastAsia="HG Mincho Light J"/>
        </w:rPr>
        <w:tab/>
        <w:t xml:space="preserve">  –  24 próbki (16 E, 8 PK),    </w:t>
      </w:r>
    </w:p>
    <w:p w:rsidR="007139EB" w:rsidRPr="007139EB" w:rsidRDefault="007139EB" w:rsidP="004670DB">
      <w:pPr>
        <w:widowControl w:val="0"/>
        <w:numPr>
          <w:ilvl w:val="0"/>
          <w:numId w:val="18"/>
        </w:numPr>
        <w:suppressAutoHyphens/>
        <w:jc w:val="both"/>
        <w:rPr>
          <w:rFonts w:eastAsia="HG Mincho Light J"/>
        </w:rPr>
      </w:pPr>
      <w:r w:rsidRPr="007139EB">
        <w:rPr>
          <w:rFonts w:eastAsia="HG Mincho Light J"/>
        </w:rPr>
        <w:t xml:space="preserve">benzyna bezołowiowa Pb 98    </w:t>
      </w:r>
      <w:r w:rsidRPr="007139EB">
        <w:rPr>
          <w:rFonts w:eastAsia="HG Mincho Light J"/>
        </w:rPr>
        <w:tab/>
        <w:t xml:space="preserve">  –   6   próbek ( E),</w:t>
      </w:r>
    </w:p>
    <w:p w:rsidR="007139EB" w:rsidRPr="007139EB" w:rsidRDefault="007139EB" w:rsidP="004670DB">
      <w:pPr>
        <w:widowControl w:val="0"/>
        <w:numPr>
          <w:ilvl w:val="0"/>
          <w:numId w:val="18"/>
        </w:numPr>
        <w:suppressAutoHyphens/>
        <w:jc w:val="both"/>
        <w:rPr>
          <w:rFonts w:eastAsia="HG Mincho Light J"/>
        </w:rPr>
      </w:pPr>
      <w:r w:rsidRPr="007139EB">
        <w:rPr>
          <w:rFonts w:eastAsia="HG Mincho Light J"/>
        </w:rPr>
        <w:t xml:space="preserve">olej napędowy ON                      </w:t>
      </w:r>
      <w:r w:rsidRPr="007139EB">
        <w:rPr>
          <w:rFonts w:eastAsia="HG Mincho Light J"/>
        </w:rPr>
        <w:tab/>
        <w:t xml:space="preserve">  –  26 próbek (12 E,  14 PK),</w:t>
      </w:r>
    </w:p>
    <w:p w:rsidR="007139EB" w:rsidRPr="007139EB" w:rsidRDefault="007139EB" w:rsidP="004670DB">
      <w:pPr>
        <w:widowControl w:val="0"/>
        <w:numPr>
          <w:ilvl w:val="0"/>
          <w:numId w:val="18"/>
        </w:numPr>
        <w:suppressAutoHyphens/>
        <w:jc w:val="both"/>
        <w:rPr>
          <w:rFonts w:eastAsia="HG Mincho Light J"/>
        </w:rPr>
      </w:pPr>
      <w:r w:rsidRPr="007139EB">
        <w:rPr>
          <w:rFonts w:eastAsia="HG Mincho Light J"/>
        </w:rPr>
        <w:t>LPG                                                     –  18  próbki (PK).</w:t>
      </w:r>
    </w:p>
    <w:p w:rsidR="007139EB" w:rsidRPr="007139EB" w:rsidRDefault="007139EB" w:rsidP="007139EB">
      <w:pPr>
        <w:widowControl w:val="0"/>
        <w:suppressAutoHyphens/>
        <w:jc w:val="both"/>
        <w:rPr>
          <w:rFonts w:eastAsia="HG Mincho Light J"/>
        </w:rPr>
      </w:pPr>
    </w:p>
    <w:p w:rsidR="007139EB" w:rsidRPr="007139EB" w:rsidRDefault="007139EB" w:rsidP="007139EB">
      <w:pPr>
        <w:widowControl w:val="0"/>
        <w:suppressAutoHyphens/>
        <w:jc w:val="both"/>
        <w:rPr>
          <w:rFonts w:eastAsia="HG Mincho Light J"/>
        </w:rPr>
      </w:pPr>
      <w:r w:rsidRPr="007139EB">
        <w:rPr>
          <w:rFonts w:eastAsia="HG Mincho Light J"/>
        </w:rPr>
        <w:t>Ponadto, w toku przeprowadzonych kontroli, przedsiębiorcy zgłosili wnioski o przebadanie próbek kontrolnych</w:t>
      </w:r>
      <w:r w:rsidRPr="007139EB">
        <w:rPr>
          <w:rFonts w:eastAsia="HG Mincho Light J"/>
          <w:b/>
        </w:rPr>
        <w:t xml:space="preserve">  2.  paliw: 1 -  oleju napędowego i 1 – LPG.</w:t>
      </w:r>
    </w:p>
    <w:p w:rsidR="007139EB" w:rsidRPr="007139EB" w:rsidRDefault="007139EB" w:rsidP="007139EB">
      <w:pPr>
        <w:widowControl w:val="0"/>
        <w:suppressAutoHyphens/>
        <w:jc w:val="both"/>
        <w:rPr>
          <w:rFonts w:eastAsia="HG Mincho Light J"/>
          <w:b/>
        </w:rPr>
      </w:pPr>
    </w:p>
    <w:p w:rsidR="007139EB" w:rsidRPr="007139EB" w:rsidRDefault="007139EB" w:rsidP="007139EB">
      <w:pPr>
        <w:widowControl w:val="0"/>
        <w:suppressAutoHyphens/>
        <w:jc w:val="both"/>
        <w:rPr>
          <w:rFonts w:eastAsia="HG Mincho Light J"/>
        </w:rPr>
      </w:pPr>
      <w:r w:rsidRPr="007139EB">
        <w:rPr>
          <w:rFonts w:eastAsia="HG Mincho Light J"/>
          <w:b/>
        </w:rPr>
        <w:t>W hurtowniach</w:t>
      </w:r>
      <w:r w:rsidRPr="007139EB">
        <w:rPr>
          <w:rFonts w:eastAsia="HG Mincho Light J"/>
        </w:rPr>
        <w:t xml:space="preserve"> zbadano łącznie </w:t>
      </w:r>
      <w:r w:rsidRPr="007139EB">
        <w:rPr>
          <w:rFonts w:eastAsia="HG Mincho Light J"/>
          <w:b/>
        </w:rPr>
        <w:t>3 próbki</w:t>
      </w:r>
      <w:r w:rsidRPr="007139EB">
        <w:rPr>
          <w:rFonts w:eastAsia="HG Mincho Light J"/>
        </w:rPr>
        <w:t xml:space="preserve"> paliw (2 - oleju napędowego ON i  1 - benzyny bezołowiowej Pb 95).</w:t>
      </w:r>
    </w:p>
    <w:p w:rsidR="007139EB" w:rsidRPr="007139EB" w:rsidRDefault="007139EB" w:rsidP="007139EB">
      <w:pPr>
        <w:widowControl w:val="0"/>
        <w:suppressAutoHyphens/>
        <w:jc w:val="both"/>
        <w:rPr>
          <w:rFonts w:eastAsia="HG Mincho Light J"/>
        </w:rPr>
      </w:pPr>
    </w:p>
    <w:p w:rsidR="007139EB" w:rsidRPr="007139EB" w:rsidRDefault="007139EB" w:rsidP="007139EB">
      <w:pPr>
        <w:widowControl w:val="0"/>
        <w:suppressAutoHyphens/>
        <w:jc w:val="both"/>
        <w:rPr>
          <w:rFonts w:eastAsia="HG Mincho Light J"/>
        </w:rPr>
      </w:pPr>
      <w:r w:rsidRPr="007139EB">
        <w:rPr>
          <w:rFonts w:eastAsia="HG Mincho Light J"/>
          <w:b/>
        </w:rPr>
        <w:t>W ogólnodostępnych</w:t>
      </w:r>
      <w:r w:rsidRPr="007139EB">
        <w:rPr>
          <w:rFonts w:eastAsia="HG Mincho Light J"/>
        </w:rPr>
        <w:t xml:space="preserve"> stacjach paliw zbadano łącznie </w:t>
      </w:r>
      <w:r w:rsidRPr="007139EB">
        <w:rPr>
          <w:rFonts w:eastAsia="HG Mincho Light J"/>
          <w:b/>
        </w:rPr>
        <w:t xml:space="preserve">71 próbek </w:t>
      </w:r>
      <w:r w:rsidRPr="007139EB">
        <w:rPr>
          <w:rFonts w:eastAsia="HG Mincho Light J"/>
        </w:rPr>
        <w:t>(34 próbki w systemie europejskim, 37 – pozostałe kontrole) paliw, tj. :</w:t>
      </w:r>
    </w:p>
    <w:p w:rsidR="007139EB" w:rsidRPr="007139EB" w:rsidRDefault="007139EB" w:rsidP="004670DB">
      <w:pPr>
        <w:widowControl w:val="0"/>
        <w:numPr>
          <w:ilvl w:val="0"/>
          <w:numId w:val="19"/>
        </w:numPr>
        <w:suppressAutoHyphens/>
        <w:rPr>
          <w:rFonts w:eastAsia="HG Mincho Light J"/>
        </w:rPr>
      </w:pPr>
      <w:r w:rsidRPr="007139EB">
        <w:rPr>
          <w:rFonts w:eastAsia="HG Mincho Light J"/>
        </w:rPr>
        <w:t xml:space="preserve">benzyna bezołowiowa Pb 95    –    23  próbek  (16 E, 7 PK), </w:t>
      </w:r>
    </w:p>
    <w:p w:rsidR="007139EB" w:rsidRPr="007139EB" w:rsidRDefault="007139EB" w:rsidP="004670DB">
      <w:pPr>
        <w:widowControl w:val="0"/>
        <w:numPr>
          <w:ilvl w:val="0"/>
          <w:numId w:val="19"/>
        </w:numPr>
        <w:suppressAutoHyphens/>
        <w:rPr>
          <w:rFonts w:eastAsia="HG Mincho Light J"/>
        </w:rPr>
      </w:pPr>
      <w:r w:rsidRPr="007139EB">
        <w:rPr>
          <w:rFonts w:eastAsia="HG Mincho Light J"/>
        </w:rPr>
        <w:t>benzyna bezołowiowa Pb 98    –     6 próbek  (E),</w:t>
      </w:r>
    </w:p>
    <w:p w:rsidR="007139EB" w:rsidRPr="007139EB" w:rsidRDefault="007139EB" w:rsidP="004670DB">
      <w:pPr>
        <w:widowControl w:val="0"/>
        <w:numPr>
          <w:ilvl w:val="0"/>
          <w:numId w:val="19"/>
        </w:numPr>
        <w:suppressAutoHyphens/>
        <w:rPr>
          <w:rFonts w:eastAsia="HG Mincho Light J"/>
        </w:rPr>
      </w:pPr>
      <w:r w:rsidRPr="007139EB">
        <w:rPr>
          <w:rFonts w:eastAsia="HG Mincho Light J"/>
        </w:rPr>
        <w:t>olej napędowy ON                    –    24 próbki  (12  E, 12 PK),</w:t>
      </w:r>
    </w:p>
    <w:p w:rsidR="007139EB" w:rsidRPr="007139EB" w:rsidRDefault="007139EB" w:rsidP="004670DB">
      <w:pPr>
        <w:widowControl w:val="0"/>
        <w:numPr>
          <w:ilvl w:val="0"/>
          <w:numId w:val="19"/>
        </w:numPr>
        <w:suppressAutoHyphens/>
        <w:rPr>
          <w:rFonts w:eastAsia="HG Mincho Light J"/>
        </w:rPr>
      </w:pPr>
      <w:r w:rsidRPr="007139EB">
        <w:rPr>
          <w:rFonts w:eastAsia="HG Mincho Light J"/>
        </w:rPr>
        <w:t xml:space="preserve">LPG                                           –    18 próbek   (PK). </w:t>
      </w:r>
    </w:p>
    <w:p w:rsidR="007139EB" w:rsidRPr="007139EB" w:rsidRDefault="007139EB" w:rsidP="007139EB">
      <w:pPr>
        <w:widowControl w:val="0"/>
        <w:suppressAutoHyphens/>
        <w:rPr>
          <w:rFonts w:eastAsia="HG Mincho Light J"/>
        </w:rPr>
      </w:pPr>
      <w:r w:rsidRPr="007139EB">
        <w:rPr>
          <w:rFonts w:eastAsia="HG Mincho Light J"/>
        </w:rPr>
        <w:t xml:space="preserve">                                       </w:t>
      </w:r>
    </w:p>
    <w:p w:rsidR="007139EB" w:rsidRPr="007139EB" w:rsidRDefault="007139EB" w:rsidP="007139EB">
      <w:pPr>
        <w:widowControl w:val="0"/>
        <w:suppressAutoHyphens/>
        <w:jc w:val="both"/>
        <w:rPr>
          <w:rFonts w:eastAsia="HG Mincho Light J"/>
        </w:rPr>
      </w:pPr>
      <w:r w:rsidRPr="007139EB">
        <w:rPr>
          <w:rFonts w:eastAsia="HG Mincho Light J"/>
        </w:rPr>
        <w:t xml:space="preserve">W objętym sprawozdaniem okresie przeprowadzono </w:t>
      </w:r>
      <w:r w:rsidRPr="007139EB">
        <w:rPr>
          <w:rFonts w:eastAsia="HG Mincho Light J"/>
          <w:b/>
        </w:rPr>
        <w:t xml:space="preserve">25 kontroli </w:t>
      </w:r>
      <w:r w:rsidRPr="007139EB">
        <w:rPr>
          <w:rFonts w:eastAsia="HG Mincho Light J"/>
        </w:rPr>
        <w:t>odnoszących się do</w:t>
      </w:r>
      <w:r w:rsidRPr="007139EB">
        <w:rPr>
          <w:rFonts w:eastAsia="HG Mincho Light J"/>
          <w:b/>
        </w:rPr>
        <w:t xml:space="preserve"> </w:t>
      </w:r>
      <w:r w:rsidRPr="007139EB">
        <w:rPr>
          <w:rFonts w:eastAsia="HG Mincho Light J"/>
        </w:rPr>
        <w:t>jakości gazu LPG: 19 kontroli w ogólnodostępnych stacjach paliw, 1 kontrola w hurtowni i 5 w siedzibach 4 przedsiębiorców.</w:t>
      </w:r>
    </w:p>
    <w:p w:rsidR="007139EB" w:rsidRPr="007139EB" w:rsidRDefault="007139EB" w:rsidP="007139EB">
      <w:pPr>
        <w:widowControl w:val="0"/>
        <w:suppressAutoHyphens/>
        <w:ind w:firstLine="720"/>
        <w:jc w:val="both"/>
        <w:rPr>
          <w:rFonts w:eastAsia="HG Mincho Light J"/>
          <w:b/>
        </w:rPr>
      </w:pPr>
      <w:r w:rsidRPr="007139EB">
        <w:rPr>
          <w:rFonts w:eastAsia="HG Mincho Light J"/>
          <w:b/>
        </w:rPr>
        <w:t xml:space="preserve">                                                     </w:t>
      </w:r>
    </w:p>
    <w:p w:rsidR="007139EB" w:rsidRPr="007139EB" w:rsidRDefault="007139EB" w:rsidP="007139EB">
      <w:pPr>
        <w:tabs>
          <w:tab w:val="center" w:pos="-2977"/>
          <w:tab w:val="right" w:pos="-2835"/>
        </w:tabs>
        <w:jc w:val="both"/>
        <w:rPr>
          <w:rFonts w:eastAsia="HG Mincho Light J"/>
        </w:rPr>
      </w:pPr>
      <w:r w:rsidRPr="007139EB">
        <w:rPr>
          <w:rFonts w:eastAsia="HG Mincho Light J"/>
        </w:rPr>
        <w:t>Kwestionowano jakość:</w:t>
      </w:r>
    </w:p>
    <w:p w:rsidR="007139EB" w:rsidRPr="007139EB" w:rsidRDefault="007139EB" w:rsidP="004670DB">
      <w:pPr>
        <w:numPr>
          <w:ilvl w:val="0"/>
          <w:numId w:val="20"/>
        </w:numPr>
        <w:tabs>
          <w:tab w:val="center" w:pos="-2977"/>
          <w:tab w:val="right" w:pos="-2835"/>
        </w:tabs>
        <w:ind w:left="709"/>
        <w:contextualSpacing/>
        <w:jc w:val="both"/>
        <w:rPr>
          <w:rFonts w:eastAsia="HG Mincho Light J"/>
          <w:szCs w:val="20"/>
        </w:rPr>
      </w:pPr>
      <w:r w:rsidRPr="007139EB">
        <w:rPr>
          <w:rFonts w:eastAsia="HG Mincho Light J"/>
        </w:rPr>
        <w:t xml:space="preserve">oleju napędowego  </w:t>
      </w:r>
      <w:r w:rsidRPr="007139EB">
        <w:rPr>
          <w:rFonts w:eastAsia="Calibri"/>
          <w:b/>
          <w:sz w:val="22"/>
          <w:szCs w:val="22"/>
          <w:lang w:eastAsia="en-US"/>
        </w:rPr>
        <w:t xml:space="preserve">ze względu na skład frakcyjny tj. </w:t>
      </w:r>
      <w:r w:rsidRPr="007139EB">
        <w:rPr>
          <w:rFonts w:eastAsia="Calibri"/>
          <w:b/>
          <w:bCs/>
          <w:sz w:val="22"/>
          <w:szCs w:val="22"/>
          <w:lang w:eastAsia="en-US"/>
        </w:rPr>
        <w:t xml:space="preserve">na zawyżoną temperaturę oddestylowania 95% V/V </w:t>
      </w:r>
      <w:r w:rsidRPr="007139EB">
        <w:rPr>
          <w:rFonts w:eastAsia="HG Mincho Light J"/>
          <w:b/>
          <w:szCs w:val="20"/>
        </w:rPr>
        <w:t>stwierdzony wynik badania: 369,7</w:t>
      </w:r>
      <w:r w:rsidRPr="007139EB">
        <w:rPr>
          <w:rFonts w:eastAsia="HG Mincho Light J"/>
          <w:b/>
          <w:szCs w:val="20"/>
          <w:vertAlign w:val="superscript"/>
        </w:rPr>
        <w:t>o</w:t>
      </w:r>
      <w:r w:rsidRPr="007139EB">
        <w:rPr>
          <w:rFonts w:eastAsia="HG Mincho Light J"/>
          <w:b/>
          <w:szCs w:val="20"/>
        </w:rPr>
        <w:t xml:space="preserve">C </w:t>
      </w:r>
      <w:r w:rsidRPr="007139EB">
        <w:rPr>
          <w:rFonts w:eastAsia="HG Mincho Light J"/>
          <w:szCs w:val="20"/>
        </w:rPr>
        <w:t>, podczas gdy według wymagań ww. rozporządzenia winno być max. 360,0</w:t>
      </w:r>
      <w:r w:rsidRPr="007139EB">
        <w:rPr>
          <w:rFonts w:eastAsia="HG Mincho Light J"/>
          <w:szCs w:val="20"/>
          <w:vertAlign w:val="superscript"/>
        </w:rPr>
        <w:t>o</w:t>
      </w:r>
      <w:r w:rsidRPr="007139EB">
        <w:rPr>
          <w:rFonts w:eastAsia="HG Mincho Light J"/>
          <w:szCs w:val="20"/>
        </w:rPr>
        <w:t xml:space="preserve">C (tolerancja </w:t>
      </w:r>
      <w:r w:rsidRPr="007139EB">
        <w:rPr>
          <w:rFonts w:eastAsia="HG Mincho Light J"/>
          <w:bCs/>
          <w:szCs w:val="20"/>
        </w:rPr>
        <w:t>≤ 360,0 +5,7</w:t>
      </w:r>
      <w:r w:rsidRPr="007139EB">
        <w:rPr>
          <w:rFonts w:eastAsia="HG Mincho Light J"/>
          <w:szCs w:val="20"/>
        </w:rPr>
        <w:t xml:space="preserve"> </w:t>
      </w:r>
      <w:proofErr w:type="spellStart"/>
      <w:r w:rsidRPr="007139EB">
        <w:rPr>
          <w:rFonts w:eastAsia="HG Mincho Light J"/>
          <w:szCs w:val="20"/>
          <w:vertAlign w:val="superscript"/>
        </w:rPr>
        <w:t>o</w:t>
      </w:r>
      <w:r w:rsidRPr="007139EB">
        <w:rPr>
          <w:rFonts w:eastAsia="HG Mincho Light J"/>
          <w:szCs w:val="20"/>
        </w:rPr>
        <w:t>C</w:t>
      </w:r>
      <w:proofErr w:type="spellEnd"/>
      <w:r w:rsidRPr="007139EB">
        <w:rPr>
          <w:rFonts w:eastAsia="HG Mincho Light J"/>
          <w:szCs w:val="20"/>
        </w:rPr>
        <w:t>).</w:t>
      </w:r>
    </w:p>
    <w:p w:rsidR="007139EB" w:rsidRPr="007139EB" w:rsidRDefault="007139EB" w:rsidP="004670DB">
      <w:pPr>
        <w:numPr>
          <w:ilvl w:val="0"/>
          <w:numId w:val="20"/>
        </w:numPr>
        <w:ind w:left="709"/>
        <w:contextualSpacing/>
        <w:jc w:val="both"/>
        <w:rPr>
          <w:rFonts w:eastAsia="HG Mincho Light J"/>
          <w:b/>
        </w:rPr>
      </w:pPr>
      <w:r w:rsidRPr="007139EB">
        <w:rPr>
          <w:rFonts w:eastAsia="HG Mincho Light J"/>
        </w:rPr>
        <w:lastRenderedPageBreak/>
        <w:t>gazu LPG</w:t>
      </w:r>
      <w:r w:rsidRPr="007139EB">
        <w:rPr>
          <w:rFonts w:eastAsia="HG Mincho Light J"/>
          <w:b/>
        </w:rPr>
        <w:t xml:space="preserve"> badanie działania korodującego na płytce miedzianej (1h w temp. 40°C) </w:t>
      </w:r>
      <w:r w:rsidRPr="007139EB">
        <w:rPr>
          <w:rFonts w:eastAsia="HG Mincho Light J"/>
        </w:rPr>
        <w:t xml:space="preserve">– </w:t>
      </w:r>
      <w:r w:rsidRPr="007139EB">
        <w:rPr>
          <w:rFonts w:eastAsia="HG Mincho Light J"/>
          <w:b/>
          <w:bCs/>
        </w:rPr>
        <w:t xml:space="preserve">2 klasę. </w:t>
      </w:r>
      <w:r w:rsidRPr="007139EB">
        <w:rPr>
          <w:rFonts w:eastAsia="HG Mincho Light J"/>
          <w:bCs/>
        </w:rPr>
        <w:t xml:space="preserve">Zgodnie z </w:t>
      </w:r>
      <w:r w:rsidRPr="007139EB">
        <w:rPr>
          <w:rFonts w:eastAsia="HG Mincho Light J"/>
        </w:rPr>
        <w:t xml:space="preserve"> treścią rozporządzenia Ministra Energii z dnia 14 kwietnia 2016 </w:t>
      </w:r>
      <w:r w:rsidRPr="007139EB">
        <w:rPr>
          <w:rFonts w:eastAsia="HG Mincho Light J"/>
          <w:spacing w:val="2"/>
        </w:rPr>
        <w:t>roku</w:t>
      </w:r>
      <w:r w:rsidRPr="007139EB">
        <w:rPr>
          <w:rFonts w:eastAsia="HG Mincho Light J"/>
        </w:rPr>
        <w:t xml:space="preserve"> w sprawie wymagań jakościowych dla gazu skroplonego (LPG) (Dz. U. z 2016 r., poz. 540) - </w:t>
      </w:r>
      <w:r w:rsidRPr="007139EB">
        <w:rPr>
          <w:rFonts w:eastAsia="HG Mincho Light J"/>
          <w:b/>
        </w:rPr>
        <w:t>powinna być 1 klasa.</w:t>
      </w:r>
    </w:p>
    <w:p w:rsidR="007139EB" w:rsidRPr="007139EB" w:rsidRDefault="007139EB" w:rsidP="007139EB">
      <w:pPr>
        <w:contextualSpacing/>
        <w:jc w:val="both"/>
        <w:rPr>
          <w:rFonts w:eastAsia="HG Mincho Light J"/>
          <w:b/>
        </w:rPr>
      </w:pPr>
    </w:p>
    <w:p w:rsidR="007139EB" w:rsidRPr="007139EB" w:rsidRDefault="007139EB" w:rsidP="007139EB">
      <w:pPr>
        <w:widowControl w:val="0"/>
        <w:suppressAutoHyphens/>
        <w:jc w:val="both"/>
        <w:rPr>
          <w:rFonts w:eastAsia="HG Mincho Light J"/>
        </w:rPr>
      </w:pPr>
      <w:r w:rsidRPr="007139EB">
        <w:rPr>
          <w:rFonts w:eastAsia="HG Mincho Light J"/>
        </w:rPr>
        <w:t xml:space="preserve">W związku ze stwierdzeniem w obrocie stacji paliw niewłaściwej jakości, do prokuratur skierowano </w:t>
      </w:r>
      <w:r w:rsidRPr="007139EB">
        <w:rPr>
          <w:rFonts w:eastAsia="HG Mincho Light J"/>
          <w:b/>
        </w:rPr>
        <w:t xml:space="preserve">2 zawiadomienia </w:t>
      </w:r>
      <w:r w:rsidRPr="007139EB">
        <w:rPr>
          <w:rFonts w:eastAsia="HG Mincho Light J"/>
        </w:rPr>
        <w:t xml:space="preserve">o uzasadnionym podejrzeniu przestępstwa w związku z wprowadzeniem do obrotu paliw niewłaściwej jakości. </w:t>
      </w:r>
    </w:p>
    <w:p w:rsidR="007139EB" w:rsidRPr="007139EB" w:rsidRDefault="007139EB" w:rsidP="007139EB">
      <w:pPr>
        <w:widowControl w:val="0"/>
        <w:suppressAutoHyphens/>
        <w:ind w:firstLine="720"/>
        <w:jc w:val="both"/>
        <w:rPr>
          <w:rFonts w:eastAsia="HG Mincho Light J"/>
        </w:rPr>
      </w:pPr>
    </w:p>
    <w:p w:rsidR="007139EB" w:rsidRPr="007139EB" w:rsidRDefault="007139EB" w:rsidP="007139EB">
      <w:pPr>
        <w:widowControl w:val="0"/>
        <w:suppressAutoHyphens/>
        <w:jc w:val="both"/>
        <w:rPr>
          <w:rFonts w:eastAsia="HG Mincho Light J"/>
        </w:rPr>
      </w:pPr>
      <w:r w:rsidRPr="007139EB">
        <w:rPr>
          <w:rFonts w:eastAsia="HG Mincho Light J"/>
        </w:rPr>
        <w:t xml:space="preserve">O stwierdzonych przypadkach wprowadzenia do obrotu paliwa niewłaściwej jakości każdorazowo informowano Urzędy Celne i  Urzędy Skarbowe. </w:t>
      </w:r>
    </w:p>
    <w:p w:rsidR="007139EB" w:rsidRPr="007139EB" w:rsidRDefault="007139EB" w:rsidP="007139EB">
      <w:pPr>
        <w:widowControl w:val="0"/>
        <w:suppressAutoHyphens/>
        <w:ind w:firstLine="720"/>
        <w:jc w:val="both"/>
        <w:rPr>
          <w:rFonts w:eastAsia="HG Mincho Light J"/>
        </w:rPr>
      </w:pPr>
    </w:p>
    <w:p w:rsidR="007139EB" w:rsidRPr="007139EB" w:rsidRDefault="007139EB" w:rsidP="007139EB">
      <w:pPr>
        <w:widowControl w:val="0"/>
        <w:suppressAutoHyphens/>
        <w:jc w:val="both"/>
        <w:rPr>
          <w:rFonts w:eastAsia="HG Mincho Light J" w:cs="Arial"/>
        </w:rPr>
      </w:pPr>
      <w:r w:rsidRPr="007139EB">
        <w:rPr>
          <w:rFonts w:eastAsia="HG Mincho Light J" w:cs="Arial"/>
        </w:rPr>
        <w:t xml:space="preserve">Do Prezesa Urzędu Regulacji Energetyki w Warszawie – za pośrednictwem UOKiK – skierowano </w:t>
      </w:r>
      <w:r w:rsidRPr="007139EB">
        <w:rPr>
          <w:rFonts w:eastAsia="HG Mincho Light J" w:cs="Arial"/>
          <w:b/>
        </w:rPr>
        <w:t>2 pisma informujące</w:t>
      </w:r>
      <w:r w:rsidRPr="007139EB">
        <w:rPr>
          <w:rFonts w:eastAsia="HG Mincho Light J" w:cs="Arial"/>
        </w:rPr>
        <w:t xml:space="preserve"> o wynikach wszystkich ww. kontroli - w celu wykorzystania służbowego.</w:t>
      </w:r>
    </w:p>
    <w:p w:rsidR="0071054C" w:rsidRPr="007139EB" w:rsidRDefault="0071054C" w:rsidP="0066594D">
      <w:pPr>
        <w:widowControl w:val="0"/>
        <w:tabs>
          <w:tab w:val="left" w:pos="1980"/>
        </w:tabs>
        <w:suppressAutoHyphens/>
        <w:autoSpaceDE w:val="0"/>
        <w:jc w:val="both"/>
        <w:rPr>
          <w:rFonts w:eastAsia="Times New Roman"/>
        </w:rPr>
      </w:pPr>
    </w:p>
    <w:p w:rsidR="0066594D" w:rsidRPr="007139EB" w:rsidRDefault="0066594D" w:rsidP="004670DB">
      <w:pPr>
        <w:widowControl w:val="0"/>
        <w:numPr>
          <w:ilvl w:val="1"/>
          <w:numId w:val="6"/>
        </w:numPr>
        <w:tabs>
          <w:tab w:val="clear" w:pos="1440"/>
          <w:tab w:val="num" w:pos="426"/>
        </w:tabs>
        <w:autoSpaceDE w:val="0"/>
        <w:autoSpaceDN w:val="0"/>
        <w:adjustRightInd w:val="0"/>
        <w:ind w:hanging="1440"/>
        <w:jc w:val="both"/>
        <w:rPr>
          <w:rFonts w:eastAsia="Times New Roman"/>
          <w:b/>
        </w:rPr>
      </w:pPr>
      <w:r w:rsidRPr="007139EB">
        <w:rPr>
          <w:rFonts w:eastAsia="Times New Roman"/>
          <w:b/>
        </w:rPr>
        <w:t>Artykuły nieżywnościowe i usługi bytowe</w:t>
      </w:r>
    </w:p>
    <w:p w:rsidR="0066594D" w:rsidRPr="007139EB" w:rsidRDefault="0066594D" w:rsidP="0066594D">
      <w:pPr>
        <w:widowControl w:val="0"/>
        <w:autoSpaceDE w:val="0"/>
        <w:ind w:firstLine="720"/>
        <w:jc w:val="both"/>
        <w:rPr>
          <w:rFonts w:eastAsia="Times New Roman"/>
        </w:rPr>
      </w:pPr>
    </w:p>
    <w:p w:rsidR="007139EB" w:rsidRPr="007139EB" w:rsidRDefault="007139EB" w:rsidP="007139EB">
      <w:pPr>
        <w:widowControl w:val="0"/>
        <w:autoSpaceDE w:val="0"/>
        <w:ind w:firstLine="720"/>
        <w:jc w:val="both"/>
        <w:rPr>
          <w:rFonts w:eastAsia="Times New Roman"/>
        </w:rPr>
      </w:pPr>
      <w:r w:rsidRPr="007139EB">
        <w:rPr>
          <w:rFonts w:eastAsia="Times New Roman"/>
        </w:rPr>
        <w:t xml:space="preserve">W okresie sprawozdawczym Inspektorat przeprowadził w ww. obszarze </w:t>
      </w:r>
      <w:r w:rsidRPr="007139EB">
        <w:rPr>
          <w:rFonts w:eastAsia="Times New Roman"/>
          <w:b/>
        </w:rPr>
        <w:t xml:space="preserve">86 kontroli </w:t>
      </w:r>
      <w:r w:rsidRPr="007139EB">
        <w:rPr>
          <w:rFonts w:eastAsia="Times New Roman"/>
        </w:rPr>
        <w:t xml:space="preserve">przedsiębiorców, oferujących do sprzedaży produkty nie podlegające przepisom dotyczących oceny zgodności lub ogólnego bezpieczeństwa produktów oraz </w:t>
      </w:r>
      <w:r w:rsidRPr="007139EB">
        <w:rPr>
          <w:rFonts w:eastAsia="Times New Roman"/>
          <w:b/>
        </w:rPr>
        <w:t>46 kontroli</w:t>
      </w:r>
      <w:r w:rsidRPr="007139EB">
        <w:rPr>
          <w:rFonts w:eastAsia="Times New Roman"/>
        </w:rPr>
        <w:t xml:space="preserve"> przedsiębiorców świadczących różnego rodzaju usługi, a także </w:t>
      </w:r>
      <w:r w:rsidRPr="007139EB">
        <w:rPr>
          <w:rFonts w:eastAsia="Times New Roman"/>
          <w:b/>
        </w:rPr>
        <w:t>18</w:t>
      </w:r>
      <w:r w:rsidRPr="007139EB">
        <w:rPr>
          <w:rFonts w:eastAsia="Times New Roman"/>
        </w:rPr>
        <w:t xml:space="preserve"> kontroli w zakresie prawidłowości naliczania cen towarów w kasach placówek detalicznych. Sprawdzeniem objęto </w:t>
      </w:r>
      <w:r w:rsidRPr="007139EB">
        <w:rPr>
          <w:rFonts w:eastAsia="Times New Roman"/>
          <w:b/>
        </w:rPr>
        <w:t>326 partii</w:t>
      </w:r>
      <w:r w:rsidRPr="007139EB">
        <w:rPr>
          <w:rFonts w:eastAsia="Times New Roman"/>
        </w:rPr>
        <w:t xml:space="preserve"> produktów, kwestionując </w:t>
      </w:r>
      <w:r w:rsidRPr="007139EB">
        <w:rPr>
          <w:rFonts w:eastAsia="Times New Roman"/>
          <w:b/>
        </w:rPr>
        <w:t>66 partii.</w:t>
      </w:r>
    </w:p>
    <w:p w:rsidR="007139EB" w:rsidRPr="007139EB" w:rsidRDefault="007139EB" w:rsidP="007139EB">
      <w:pPr>
        <w:widowControl w:val="0"/>
        <w:autoSpaceDE w:val="0"/>
        <w:ind w:firstLine="720"/>
        <w:jc w:val="both"/>
        <w:rPr>
          <w:rFonts w:eastAsia="Times New Roman"/>
        </w:rPr>
      </w:pPr>
    </w:p>
    <w:p w:rsidR="007139EB" w:rsidRPr="007139EB" w:rsidRDefault="007139EB" w:rsidP="007139EB">
      <w:pPr>
        <w:widowControl w:val="0"/>
        <w:autoSpaceDE w:val="0"/>
        <w:jc w:val="both"/>
        <w:rPr>
          <w:rFonts w:eastAsia="Times New Roman"/>
        </w:rPr>
      </w:pPr>
      <w:r w:rsidRPr="007139EB">
        <w:rPr>
          <w:rFonts w:eastAsia="Times New Roman"/>
        </w:rPr>
        <w:t>Najczęściej stwierdzane nieprawidłowości polegały na:</w:t>
      </w:r>
    </w:p>
    <w:p w:rsidR="007139EB" w:rsidRPr="007139EB" w:rsidRDefault="007139EB" w:rsidP="007139EB">
      <w:pPr>
        <w:widowControl w:val="0"/>
        <w:autoSpaceDE w:val="0"/>
        <w:ind w:firstLine="720"/>
        <w:jc w:val="both"/>
        <w:rPr>
          <w:rFonts w:eastAsia="Times New Roman"/>
        </w:rPr>
      </w:pPr>
    </w:p>
    <w:p w:rsidR="007139EB" w:rsidRPr="007139EB" w:rsidRDefault="007139EB" w:rsidP="004670DB">
      <w:pPr>
        <w:widowControl w:val="0"/>
        <w:numPr>
          <w:ilvl w:val="0"/>
          <w:numId w:val="21"/>
        </w:numPr>
        <w:autoSpaceDE w:val="0"/>
        <w:jc w:val="both"/>
        <w:rPr>
          <w:rFonts w:eastAsia="Times New Roman"/>
        </w:rPr>
      </w:pPr>
      <w:r w:rsidRPr="007139EB">
        <w:rPr>
          <w:rFonts w:eastAsia="Times New Roman"/>
        </w:rPr>
        <w:t>nieprzestrzeganiu przepisów dotyczących zasad uwidaczniania  cen,</w:t>
      </w:r>
    </w:p>
    <w:p w:rsidR="007139EB" w:rsidRPr="007139EB" w:rsidRDefault="007139EB" w:rsidP="004670DB">
      <w:pPr>
        <w:widowControl w:val="0"/>
        <w:numPr>
          <w:ilvl w:val="0"/>
          <w:numId w:val="21"/>
        </w:numPr>
        <w:autoSpaceDE w:val="0"/>
        <w:jc w:val="both"/>
        <w:rPr>
          <w:rFonts w:eastAsia="Times New Roman"/>
        </w:rPr>
      </w:pPr>
      <w:r w:rsidRPr="007139EB">
        <w:rPr>
          <w:rFonts w:eastAsia="Times New Roman"/>
        </w:rPr>
        <w:t>nieudostępnianiu konsumentom informacji wymaganych przepisami prawa,</w:t>
      </w:r>
    </w:p>
    <w:p w:rsidR="007139EB" w:rsidRPr="007139EB" w:rsidRDefault="007139EB" w:rsidP="004670DB">
      <w:pPr>
        <w:widowControl w:val="0"/>
        <w:numPr>
          <w:ilvl w:val="0"/>
          <w:numId w:val="21"/>
        </w:numPr>
        <w:autoSpaceDE w:val="0"/>
        <w:jc w:val="both"/>
        <w:rPr>
          <w:rFonts w:eastAsia="Times New Roman"/>
        </w:rPr>
      </w:pPr>
      <w:r w:rsidRPr="007139EB">
        <w:rPr>
          <w:rFonts w:eastAsia="Times New Roman"/>
        </w:rPr>
        <w:t>niewłaściwym oznaczeniu towaru,</w:t>
      </w:r>
    </w:p>
    <w:p w:rsidR="007139EB" w:rsidRPr="007139EB" w:rsidRDefault="007139EB" w:rsidP="004670DB">
      <w:pPr>
        <w:widowControl w:val="0"/>
        <w:numPr>
          <w:ilvl w:val="0"/>
          <w:numId w:val="21"/>
        </w:numPr>
        <w:autoSpaceDE w:val="0"/>
        <w:jc w:val="both"/>
        <w:rPr>
          <w:rFonts w:eastAsia="Times New Roman"/>
        </w:rPr>
      </w:pPr>
      <w:r w:rsidRPr="007139EB">
        <w:rPr>
          <w:rFonts w:eastAsia="Times New Roman"/>
        </w:rPr>
        <w:t>nieprawidłowej jakości towarów poddanych badaniom laboratoryjnym,</w:t>
      </w:r>
    </w:p>
    <w:p w:rsidR="007139EB" w:rsidRPr="007139EB" w:rsidRDefault="007139EB" w:rsidP="004670DB">
      <w:pPr>
        <w:widowControl w:val="0"/>
        <w:numPr>
          <w:ilvl w:val="0"/>
          <w:numId w:val="21"/>
        </w:numPr>
        <w:autoSpaceDE w:val="0"/>
        <w:jc w:val="both"/>
        <w:rPr>
          <w:rFonts w:eastAsia="Times New Roman"/>
        </w:rPr>
      </w:pPr>
      <w:r w:rsidRPr="007139EB">
        <w:rPr>
          <w:rFonts w:eastAsia="Times New Roman"/>
        </w:rPr>
        <w:t>pobraniu wyższej należności niż cena uwidoczniona przy towarze.</w:t>
      </w:r>
    </w:p>
    <w:p w:rsidR="007139EB" w:rsidRPr="007139EB" w:rsidRDefault="007139EB" w:rsidP="007139EB">
      <w:pPr>
        <w:widowControl w:val="0"/>
        <w:tabs>
          <w:tab w:val="num" w:pos="1260"/>
        </w:tabs>
        <w:autoSpaceDE w:val="0"/>
        <w:ind w:left="1260"/>
        <w:jc w:val="both"/>
        <w:rPr>
          <w:rFonts w:eastAsia="Times New Roman"/>
        </w:rPr>
      </w:pPr>
    </w:p>
    <w:p w:rsidR="007139EB" w:rsidRPr="007139EB" w:rsidRDefault="007139EB" w:rsidP="007139EB">
      <w:pPr>
        <w:ind w:firstLine="708"/>
        <w:jc w:val="both"/>
        <w:rPr>
          <w:rFonts w:eastAsia="Times New Roman"/>
        </w:rPr>
      </w:pPr>
      <w:r w:rsidRPr="007139EB">
        <w:rPr>
          <w:rFonts w:eastAsia="Times New Roman"/>
        </w:rPr>
        <w:t xml:space="preserve">W trakcie </w:t>
      </w:r>
      <w:r w:rsidRPr="007139EB">
        <w:rPr>
          <w:rFonts w:eastAsia="Times New Roman"/>
          <w:b/>
        </w:rPr>
        <w:t>18 kontroli</w:t>
      </w:r>
      <w:r w:rsidRPr="007139EB">
        <w:rPr>
          <w:rFonts w:eastAsia="Times New Roman"/>
        </w:rPr>
        <w:t xml:space="preserve"> zbadano organoleptycznie i laboratoryjnie </w:t>
      </w:r>
      <w:r w:rsidRPr="007139EB">
        <w:rPr>
          <w:rFonts w:eastAsia="Times New Roman"/>
          <w:b/>
        </w:rPr>
        <w:t>89 partii</w:t>
      </w:r>
      <w:r w:rsidRPr="007139EB">
        <w:rPr>
          <w:rFonts w:eastAsia="Times New Roman"/>
        </w:rPr>
        <w:t xml:space="preserve"> </w:t>
      </w:r>
      <w:r w:rsidRPr="007139EB">
        <w:rPr>
          <w:rFonts w:eastAsia="Times New Roman"/>
          <w:b/>
        </w:rPr>
        <w:t>wyrobów włókienniczych</w:t>
      </w:r>
      <w:r w:rsidRPr="007139EB">
        <w:rPr>
          <w:rFonts w:eastAsia="Times New Roman"/>
        </w:rPr>
        <w:t>, z czego badaniom laboratoryjnym poddano 14 partii. Sprawdzeniem objęto m. innymi następujące wyroby: bieliznę stołową, w tym obrusy; pończosznicze dla dorosłych oraz wyroby konfekcyjne z tkanin i dziani</w:t>
      </w:r>
      <w:r w:rsidR="003F0889">
        <w:rPr>
          <w:rFonts w:eastAsia="Times New Roman"/>
        </w:rPr>
        <w:t>n</w:t>
      </w:r>
      <w:r w:rsidRPr="007139EB">
        <w:rPr>
          <w:rFonts w:eastAsia="Times New Roman"/>
        </w:rPr>
        <w:t xml:space="preserve"> dla dzieci i dorosłych. Nieprawidłowości stwierdzono w </w:t>
      </w:r>
      <w:r w:rsidRPr="007139EB">
        <w:rPr>
          <w:rFonts w:eastAsia="Times New Roman"/>
          <w:b/>
        </w:rPr>
        <w:t>10 placówkach</w:t>
      </w:r>
      <w:r w:rsidRPr="007139EB">
        <w:rPr>
          <w:rFonts w:eastAsia="Times New Roman"/>
        </w:rPr>
        <w:t xml:space="preserve">. Zakwestionowano </w:t>
      </w:r>
      <w:r w:rsidRPr="007139EB">
        <w:rPr>
          <w:rFonts w:eastAsia="Times New Roman"/>
          <w:b/>
        </w:rPr>
        <w:t>22 partie wyrobów</w:t>
      </w:r>
      <w:r w:rsidRPr="007139EB">
        <w:rPr>
          <w:rFonts w:eastAsia="Times New Roman"/>
        </w:rPr>
        <w:t>, w tym w zakresie oznakowania 13 partii oraz 7 w trakcie badań laboratoryjnych z uwagi na ich jakość (brak plamoodporności, skład surowcowy), 3 partie organoleptycznie ( w zakresie wymiarów).</w:t>
      </w:r>
    </w:p>
    <w:p w:rsidR="007139EB" w:rsidRPr="007139EB" w:rsidRDefault="007139EB" w:rsidP="007139EB">
      <w:pPr>
        <w:ind w:firstLine="720"/>
        <w:jc w:val="both"/>
        <w:rPr>
          <w:rFonts w:eastAsia="Times New Roman"/>
        </w:rPr>
      </w:pPr>
    </w:p>
    <w:p w:rsidR="007139EB" w:rsidRPr="007139EB" w:rsidRDefault="007139EB" w:rsidP="007139EB">
      <w:pPr>
        <w:ind w:firstLine="708"/>
        <w:jc w:val="both"/>
        <w:rPr>
          <w:rFonts w:eastAsia="Times New Roman"/>
        </w:rPr>
      </w:pPr>
      <w:r w:rsidRPr="007139EB">
        <w:rPr>
          <w:rFonts w:eastAsia="Times New Roman"/>
          <w:bCs/>
        </w:rPr>
        <w:t xml:space="preserve">W 8 placówkach detalicznych dokonano </w:t>
      </w:r>
      <w:r w:rsidRPr="007139EB">
        <w:rPr>
          <w:rFonts w:eastAsia="Times New Roman"/>
          <w:b/>
          <w:bCs/>
        </w:rPr>
        <w:t xml:space="preserve">sprawdzenia </w:t>
      </w:r>
      <w:r w:rsidRPr="007139EB">
        <w:rPr>
          <w:rFonts w:eastAsia="Times New Roman"/>
          <w:b/>
        </w:rPr>
        <w:t>przestrzegania obowiązków wynikających z przepisów ustawy z dnia 29 lipca 2005 r. o zużytym sprzęcie elektrycznym i elektronicznym</w:t>
      </w:r>
      <w:r w:rsidRPr="007139EB">
        <w:rPr>
          <w:rFonts w:eastAsia="Times New Roman"/>
          <w:bCs/>
        </w:rPr>
        <w:t xml:space="preserve">. W ramach tych kontroli sprawdzano również </w:t>
      </w:r>
      <w:r w:rsidRPr="007139EB">
        <w:rPr>
          <w:rFonts w:eastAsia="Times New Roman"/>
        </w:rPr>
        <w:t xml:space="preserve">przestrzeganie przepisów o informowaniu o cenach towarów, przestrzeganie obowiązków wynikających ustawy o języku polskim, legalność prowadzonej działalności gospodarczej oraz czy w ofercie handlowej znajdują się wyroby objęte systemem RAPEX. Badaniem objęto </w:t>
      </w:r>
      <w:r w:rsidRPr="007139EB">
        <w:rPr>
          <w:rFonts w:eastAsia="Times New Roman"/>
          <w:b/>
        </w:rPr>
        <w:t>40 partii</w:t>
      </w:r>
      <w:r w:rsidRPr="007139EB">
        <w:rPr>
          <w:rFonts w:eastAsia="Times New Roman"/>
        </w:rPr>
        <w:t xml:space="preserve"> wyrobów. Nieprawidłowości ujawniono u </w:t>
      </w:r>
      <w:r w:rsidRPr="007139EB">
        <w:rPr>
          <w:rFonts w:eastAsia="Times New Roman"/>
          <w:b/>
        </w:rPr>
        <w:t>5 przedsiębiorców</w:t>
      </w:r>
      <w:r w:rsidRPr="007139EB">
        <w:rPr>
          <w:rFonts w:eastAsia="Times New Roman"/>
        </w:rPr>
        <w:t xml:space="preserve">, zakwestionowano </w:t>
      </w:r>
      <w:r w:rsidRPr="007139EB">
        <w:rPr>
          <w:rFonts w:eastAsia="Times New Roman"/>
          <w:b/>
        </w:rPr>
        <w:t>20 partii</w:t>
      </w:r>
      <w:r w:rsidRPr="007139EB">
        <w:rPr>
          <w:rFonts w:eastAsia="Times New Roman"/>
        </w:rPr>
        <w:t xml:space="preserve"> produktów. </w:t>
      </w:r>
      <w:r w:rsidRPr="007139EB">
        <w:rPr>
          <w:rFonts w:eastAsia="Calibri"/>
          <w:lang w:eastAsia="en-US"/>
        </w:rPr>
        <w:t xml:space="preserve">Ujawnione w trakcie przeprowadzonych kontroli nieprawidłowości polegały na </w:t>
      </w:r>
      <w:r w:rsidRPr="007139EB">
        <w:rPr>
          <w:rFonts w:eastAsia="Times New Roman"/>
        </w:rPr>
        <w:t xml:space="preserve">braku informacji: o punktach zbierania zużytego sprzętu elektrycznego i elektronicznego, o </w:t>
      </w:r>
      <w:r w:rsidRPr="007139EB">
        <w:rPr>
          <w:rFonts w:eastAsia="Calibri"/>
          <w:lang w:eastAsia="en-US"/>
        </w:rPr>
        <w:t>nieodpłatnym odbiorze zużytego sprzętu pochodzącego z gospodarstw domowych w punkcie sprzedaży</w:t>
      </w:r>
      <w:r w:rsidRPr="007139EB">
        <w:rPr>
          <w:rFonts w:eastAsia="Times New Roman"/>
        </w:rPr>
        <w:t xml:space="preserve"> oraz o </w:t>
      </w:r>
      <w:r w:rsidRPr="007139EB">
        <w:rPr>
          <w:rFonts w:eastAsia="Calibri"/>
          <w:lang w:eastAsia="en-US"/>
        </w:rPr>
        <w:t xml:space="preserve">nieodpłatnym przyjęciu w jednostce </w:t>
      </w:r>
      <w:r w:rsidRPr="007139EB">
        <w:rPr>
          <w:rFonts w:eastAsia="Calibri"/>
          <w:lang w:eastAsia="en-US"/>
        </w:rPr>
        <w:lastRenderedPageBreak/>
        <w:t xml:space="preserve">lub w jej bezpośredniej bliskości zużytego sprzętu pochodzącego z gospodarstw domowych, którego żaden z zewnętrznych wymiarów nie przekracza 25 cm, bez konieczności zakupu nowego sprzętu przeznaczonego dla gospodarstw domowych; braku dołączonych do wyrobów informacji: o zakazie umieszczania zużytego sprzętu łącznie z innymi odpadami wraz z wyjaśnieniem znaczenia symbolu selektywnego zbierania (przekreślonego kosza), o potencjalnych skutkach dla środowiska i zdrowia ludzi wynikających z obecności w sprzęcie niebezpiecznych substancji, mieszanin oraz części składowych, braku w oznaczeniu symbolu selektywnego zbierania - przekreślonego kosza, sporządzeniu </w:t>
      </w:r>
      <w:r w:rsidRPr="007139EB">
        <w:rPr>
          <w:rFonts w:eastAsia="Times New Roman"/>
        </w:rPr>
        <w:t xml:space="preserve">instrukcji obsługi oraz </w:t>
      </w:r>
      <w:r w:rsidRPr="007139EB">
        <w:rPr>
          <w:rFonts w:eastAsia="Calibri"/>
          <w:lang w:eastAsia="ar-SA"/>
        </w:rPr>
        <w:t>informacji o właściwościach towarów i ich użytkowaniu w tym ostrzeżeń i opisów wyrobu wyłącznie w języku obcym bez podania</w:t>
      </w:r>
      <w:r w:rsidRPr="007139EB">
        <w:rPr>
          <w:rFonts w:eastAsia="Times New Roman"/>
        </w:rPr>
        <w:t xml:space="preserve"> polskiej wersji językowej (</w:t>
      </w:r>
      <w:r w:rsidRPr="007139EB">
        <w:rPr>
          <w:rFonts w:eastAsia="Calibri"/>
          <w:lang w:eastAsia="en-US"/>
        </w:rPr>
        <w:t xml:space="preserve">w 3 placówkach w odniesieniu do 12 produktów). </w:t>
      </w:r>
      <w:r w:rsidRPr="007139EB">
        <w:rPr>
          <w:rFonts w:eastAsia="Times New Roman"/>
        </w:rPr>
        <w:t xml:space="preserve">Ponadto 5 z zakwestionowanych produktów posiadało wyłącznie obcojęzyczne nazewnictwo </w:t>
      </w:r>
      <w:r w:rsidRPr="007139EB">
        <w:rPr>
          <w:rFonts w:eastAsia="Calibri"/>
          <w:lang w:eastAsia="en-US"/>
        </w:rPr>
        <w:t xml:space="preserve">bez podania nazwy towaru w polskiej wersji językowej, zaś 1 produkt posiadał gwarancję sporządzoną w języku obcym, stwierdzeniu w obrocie produktu figurującego w systemie RAPEX, </w:t>
      </w:r>
      <w:r w:rsidRPr="007139EB">
        <w:rPr>
          <w:rFonts w:eastAsia="Times New Roman"/>
          <w:bCs/>
        </w:rPr>
        <w:t xml:space="preserve">nieuwidocznieniu cen jednostkowych towarów </w:t>
      </w:r>
      <w:r w:rsidRPr="007139EB">
        <w:rPr>
          <w:rFonts w:eastAsia="Calibri"/>
          <w:bCs/>
          <w:lang w:eastAsia="en-US"/>
        </w:rPr>
        <w:t xml:space="preserve">sprzedawanych według wagi i objętości.  </w:t>
      </w:r>
    </w:p>
    <w:p w:rsidR="007139EB" w:rsidRPr="007139EB" w:rsidRDefault="007139EB" w:rsidP="007139EB">
      <w:pPr>
        <w:jc w:val="both"/>
        <w:rPr>
          <w:rFonts w:eastAsia="Times New Roman"/>
        </w:rPr>
      </w:pPr>
    </w:p>
    <w:p w:rsidR="007139EB" w:rsidRPr="007139EB" w:rsidRDefault="007139EB" w:rsidP="007139EB">
      <w:pPr>
        <w:ind w:firstLine="708"/>
        <w:jc w:val="both"/>
        <w:rPr>
          <w:rFonts w:eastAsia="Times New Roman"/>
        </w:rPr>
      </w:pPr>
      <w:r w:rsidRPr="007139EB">
        <w:rPr>
          <w:rFonts w:eastAsia="Times New Roman"/>
        </w:rPr>
        <w:t xml:space="preserve">Prawidłowość obrotu handlowego, w tym oznakowanie pojedynczych opakowań wyrobów chemii gospodarczej – </w:t>
      </w:r>
      <w:r w:rsidRPr="007139EB">
        <w:rPr>
          <w:rFonts w:eastAsia="Times New Roman"/>
          <w:b/>
        </w:rPr>
        <w:t>detergentów,</w:t>
      </w:r>
      <w:r w:rsidRPr="007139EB">
        <w:rPr>
          <w:rFonts w:eastAsia="Times New Roman"/>
        </w:rPr>
        <w:t xml:space="preserve"> badano w </w:t>
      </w:r>
      <w:r w:rsidRPr="007139EB">
        <w:rPr>
          <w:rFonts w:eastAsia="Times New Roman"/>
          <w:b/>
        </w:rPr>
        <w:t>2</w:t>
      </w:r>
      <w:r w:rsidRPr="007139EB">
        <w:rPr>
          <w:rFonts w:eastAsia="Times New Roman"/>
        </w:rPr>
        <w:t xml:space="preserve"> sklepach prowadzących sprzedaż detaliczną. Nieprawidłowości stwierdzono </w:t>
      </w:r>
      <w:r w:rsidRPr="007139EB">
        <w:rPr>
          <w:rFonts w:eastAsia="Times New Roman"/>
          <w:b/>
        </w:rPr>
        <w:t>u obu skontrolowanych przedsiębiorców</w:t>
      </w:r>
      <w:r w:rsidRPr="007139EB">
        <w:rPr>
          <w:rFonts w:eastAsia="Times New Roman"/>
        </w:rPr>
        <w:t xml:space="preserve">. Ogółem skontrolowano </w:t>
      </w:r>
      <w:r w:rsidRPr="007139EB">
        <w:rPr>
          <w:rFonts w:eastAsia="Times New Roman"/>
          <w:b/>
        </w:rPr>
        <w:t>7 partii detergentów</w:t>
      </w:r>
      <w:r w:rsidRPr="007139EB">
        <w:rPr>
          <w:rFonts w:eastAsia="Times New Roman"/>
        </w:rPr>
        <w:t xml:space="preserve">, z czego: </w:t>
      </w:r>
      <w:r w:rsidRPr="007139EB">
        <w:rPr>
          <w:rFonts w:eastAsia="Times New Roman"/>
          <w:b/>
        </w:rPr>
        <w:t xml:space="preserve">6 partii </w:t>
      </w:r>
      <w:r w:rsidRPr="007139EB">
        <w:rPr>
          <w:rFonts w:eastAsia="Times New Roman"/>
        </w:rPr>
        <w:t>skontrolowano w zakresie prawidłowości oznakowania, 1 partię, poddano badaniom laboratoryjnym w zakresie napełnienia w odniesieniu do deklaracji producenta. W wyniku przeprowadzonych kontroli,</w:t>
      </w:r>
      <w:r w:rsidRPr="007139EB">
        <w:rPr>
          <w:rFonts w:eastAsia="Times New Roman"/>
          <w:b/>
        </w:rPr>
        <w:t xml:space="preserve"> </w:t>
      </w:r>
      <w:r w:rsidRPr="007139EB">
        <w:rPr>
          <w:rFonts w:eastAsia="Times New Roman"/>
        </w:rPr>
        <w:t xml:space="preserve">zakwestionowano w zakresie oznakowania </w:t>
      </w:r>
      <w:r w:rsidRPr="007139EB">
        <w:rPr>
          <w:rFonts w:eastAsia="Times New Roman"/>
          <w:b/>
        </w:rPr>
        <w:t xml:space="preserve">5 partii </w:t>
      </w:r>
      <w:r w:rsidRPr="007139EB">
        <w:rPr>
          <w:rFonts w:eastAsia="Times New Roman"/>
        </w:rPr>
        <w:t>detergentów</w:t>
      </w:r>
      <w:r w:rsidRPr="007139EB">
        <w:rPr>
          <w:rFonts w:eastAsia="Times New Roman"/>
          <w:b/>
        </w:rPr>
        <w:t xml:space="preserve">. </w:t>
      </w:r>
      <w:r w:rsidRPr="007139EB">
        <w:rPr>
          <w:rFonts w:eastAsia="Times New Roman"/>
        </w:rPr>
        <w:t>Ujawnione nieprawidłowości w oznakowaniu oraz w odniesieniu do kontrolowanych przedsiębiorców polegały na: nie podaniu na oznakowaniu informacji wykonanych w języku polskim, określających zawartość i nazwy składników oraz</w:t>
      </w:r>
      <w:r w:rsidRPr="007139EB">
        <w:rPr>
          <w:rFonts w:eastAsia="Times New Roman"/>
          <w:b/>
        </w:rPr>
        <w:t xml:space="preserve"> </w:t>
      </w:r>
      <w:r w:rsidRPr="007139EB">
        <w:rPr>
          <w:rFonts w:eastAsia="Times New Roman"/>
        </w:rPr>
        <w:t>instrukcji użycia i środków ostrożności, przy stosowaniu detergentów</w:t>
      </w:r>
      <w:r w:rsidRPr="007139EB">
        <w:rPr>
          <w:rFonts w:eastAsia="Times New Roman"/>
          <w:b/>
        </w:rPr>
        <w:t xml:space="preserve"> </w:t>
      </w:r>
      <w:r w:rsidRPr="007139EB">
        <w:rPr>
          <w:rFonts w:eastAsia="Times New Roman"/>
        </w:rPr>
        <w:t>a także dotyczących dozowania środka do prania, braku w oznakowaniu określonego zakresu (procentów wagowych) i rodzaju związków powierzchniowo czynnych i nazwy konserwantu. Badanie laboratoryjne nieprawidłowości nie wykazało.</w:t>
      </w:r>
    </w:p>
    <w:p w:rsidR="007139EB" w:rsidRPr="007139EB" w:rsidRDefault="007139EB" w:rsidP="007139EB">
      <w:pPr>
        <w:ind w:firstLine="708"/>
        <w:jc w:val="both"/>
        <w:rPr>
          <w:rFonts w:eastAsia="Times New Roman"/>
          <w:bCs/>
        </w:rPr>
      </w:pPr>
    </w:p>
    <w:p w:rsidR="007139EB" w:rsidRPr="007139EB" w:rsidRDefault="007139EB" w:rsidP="007139EB">
      <w:pPr>
        <w:ind w:firstLine="708"/>
        <w:jc w:val="both"/>
        <w:rPr>
          <w:rFonts w:eastAsia="Times New Roman"/>
          <w:bCs/>
        </w:rPr>
      </w:pPr>
      <w:r w:rsidRPr="007139EB">
        <w:rPr>
          <w:rFonts w:eastAsia="Times New Roman"/>
          <w:bCs/>
        </w:rPr>
        <w:t xml:space="preserve">Przeprowadzono </w:t>
      </w:r>
      <w:r w:rsidRPr="007139EB">
        <w:rPr>
          <w:rFonts w:eastAsia="Times New Roman"/>
          <w:b/>
          <w:bCs/>
        </w:rPr>
        <w:t>2 kontrole</w:t>
      </w:r>
      <w:r w:rsidRPr="007139EB">
        <w:rPr>
          <w:rFonts w:eastAsia="Times New Roman"/>
          <w:bCs/>
        </w:rPr>
        <w:t xml:space="preserve"> w placówkach, gdzie sprawdzeniem w zakresie oznakowania i sprawdzeniem terminów ważności objęto </w:t>
      </w:r>
      <w:r w:rsidRPr="007139EB">
        <w:rPr>
          <w:rFonts w:eastAsia="Times New Roman"/>
          <w:b/>
          <w:bCs/>
        </w:rPr>
        <w:t>8 partii</w:t>
      </w:r>
      <w:r w:rsidRPr="007139EB">
        <w:rPr>
          <w:rFonts w:eastAsia="Times New Roman"/>
          <w:bCs/>
        </w:rPr>
        <w:t xml:space="preserve"> </w:t>
      </w:r>
      <w:r w:rsidRPr="007139EB">
        <w:rPr>
          <w:rFonts w:eastAsia="Times New Roman"/>
          <w:b/>
          <w:bCs/>
        </w:rPr>
        <w:t>produktów biobójczych</w:t>
      </w:r>
      <w:r w:rsidRPr="007139EB">
        <w:rPr>
          <w:rFonts w:eastAsia="Times New Roman"/>
          <w:bCs/>
        </w:rPr>
        <w:t xml:space="preserve">, z czego 4 partie posiadały właściwości mieszanin niebezpiecznych. W wyniku przeprowadzonych kontroli w zakresie oznakowania zakwestionowano </w:t>
      </w:r>
      <w:r w:rsidRPr="007139EB">
        <w:rPr>
          <w:rFonts w:eastAsia="Times New Roman"/>
          <w:b/>
          <w:bCs/>
        </w:rPr>
        <w:t>2 partie</w:t>
      </w:r>
      <w:r w:rsidRPr="007139EB">
        <w:rPr>
          <w:rFonts w:eastAsia="Times New Roman"/>
          <w:bCs/>
        </w:rPr>
        <w:t xml:space="preserve"> produktów biobójczych (brak w oznaczeniu zwrotów wskazujących środki ostrożności i numeru telefonu podmiotu odpowiedzialnego za wprowadzenie do obrotu).  Wszystkie z</w:t>
      </w:r>
      <w:r w:rsidRPr="007139EB">
        <w:rPr>
          <w:rFonts w:eastAsia="Times New Roman"/>
        </w:rPr>
        <w:t>akwestionowane pod względem oznakowania produkty biobójcze</w:t>
      </w:r>
      <w:r w:rsidRPr="007139EB">
        <w:rPr>
          <w:rFonts w:eastAsia="Calibri"/>
          <w:bCs/>
          <w:lang w:eastAsia="en-US"/>
        </w:rPr>
        <w:t xml:space="preserve"> w trakcie kontroli zostały wyłączone przez przedsiębiorców z obrotu celem dokonania poprawy oznakowania przez producenta lub zwrotu do dostawcy. </w:t>
      </w:r>
      <w:r w:rsidRPr="007139EB">
        <w:rPr>
          <w:rFonts w:eastAsia="Times New Roman"/>
          <w:bCs/>
        </w:rPr>
        <w:t xml:space="preserve">Ponadto w  placówkach sprawdzano przestrzeganie obowiązku </w:t>
      </w:r>
      <w:r w:rsidRPr="007139EB">
        <w:rPr>
          <w:rFonts w:eastAsia="Calibri"/>
          <w:bCs/>
          <w:lang w:eastAsia="en-US"/>
        </w:rPr>
        <w:t xml:space="preserve">uwidaczniania informacji o opakowaniach i odpadach opakowaniowych i w tym zakresie nieprawidłowości nie stwierdzono. </w:t>
      </w:r>
    </w:p>
    <w:p w:rsidR="007139EB" w:rsidRPr="007139EB" w:rsidRDefault="007139EB" w:rsidP="007139EB">
      <w:pPr>
        <w:ind w:firstLine="708"/>
        <w:jc w:val="both"/>
        <w:rPr>
          <w:rFonts w:eastAsia="Times New Roman"/>
        </w:rPr>
      </w:pPr>
    </w:p>
    <w:p w:rsidR="007139EB" w:rsidRPr="007139EB" w:rsidRDefault="007139EB" w:rsidP="007139EB">
      <w:pPr>
        <w:ind w:firstLine="708"/>
        <w:jc w:val="both"/>
        <w:rPr>
          <w:rFonts w:eastAsia="Times New Roman"/>
        </w:rPr>
      </w:pPr>
      <w:r w:rsidRPr="007139EB">
        <w:rPr>
          <w:rFonts w:eastAsia="Times New Roman"/>
          <w:b/>
        </w:rPr>
        <w:t xml:space="preserve">Substancje i mieszaniny niebezpieczne </w:t>
      </w:r>
      <w:r w:rsidRPr="007139EB">
        <w:rPr>
          <w:rFonts w:eastAsia="Times New Roman"/>
        </w:rPr>
        <w:t xml:space="preserve">były przedmiotem </w:t>
      </w:r>
      <w:r w:rsidRPr="007139EB">
        <w:rPr>
          <w:rFonts w:eastAsia="Times New Roman"/>
          <w:b/>
        </w:rPr>
        <w:t>2 kontroli</w:t>
      </w:r>
      <w:r w:rsidRPr="007139EB">
        <w:rPr>
          <w:rFonts w:eastAsia="Times New Roman"/>
        </w:rPr>
        <w:t xml:space="preserve">, podczas których sprawdzeniem objęto łącznie </w:t>
      </w:r>
      <w:r w:rsidRPr="007139EB">
        <w:rPr>
          <w:rFonts w:eastAsia="Times New Roman"/>
          <w:b/>
        </w:rPr>
        <w:t>7 partii</w:t>
      </w:r>
      <w:r w:rsidRPr="007139EB">
        <w:rPr>
          <w:rFonts w:eastAsia="Times New Roman"/>
        </w:rPr>
        <w:t xml:space="preserve"> mieszanin niebezpiecznych, w tym 3 partie zimowych płynów do spryskiwaczy samochodowych, 1 partię koncentratu i 3 partie płynów do chłodnic. Zbadano je w zakresie: prawidłowości oznakowania, przestrzegania obowiązku zaopatrywania opakowań mieszanin niebezpiecznych w zamknięcia utrudniające otwarcie je przez dzieci oraz zaopatrywania ich opakowań w wyczuwalne dotykiem ostrzeżenie o niebezpieczeństwie oraz zachowania terminów ważności - trwałości. W zakresie oznakowania nieprawidłowości ujawniono w odniesieniu do </w:t>
      </w:r>
      <w:r w:rsidRPr="007139EB">
        <w:rPr>
          <w:rFonts w:eastAsia="Times New Roman"/>
          <w:b/>
        </w:rPr>
        <w:t>4 partii</w:t>
      </w:r>
      <w:r w:rsidRPr="007139EB">
        <w:rPr>
          <w:rFonts w:eastAsia="Times New Roman"/>
        </w:rPr>
        <w:t xml:space="preserve"> płynów do spryskiwaczy (brak na etykiecie:, hasła ostrzegawczego, nazw składników </w:t>
      </w:r>
      <w:r w:rsidRPr="007139EB">
        <w:rPr>
          <w:rFonts w:eastAsia="Times New Roman"/>
        </w:rPr>
        <w:lastRenderedPageBreak/>
        <w:t xml:space="preserve">obecnych w mieszaninie, zwrotów wskazujących rodzaj zagrożenia i środków ostrożności) numeru telefonu dostawcy, które </w:t>
      </w:r>
      <w:r w:rsidRPr="007139EB">
        <w:rPr>
          <w:rFonts w:eastAsia="Calibri"/>
          <w:bCs/>
          <w:lang w:eastAsia="en-US"/>
        </w:rPr>
        <w:t>zostały wyłączone przez przedsiębiorców z obrotu celem dokonania poprawy oznakowania przez producenta lub zwrotu do dostawcy</w:t>
      </w:r>
      <w:r w:rsidRPr="007139EB">
        <w:rPr>
          <w:rFonts w:eastAsia="Times New Roman"/>
        </w:rPr>
        <w:t xml:space="preserve">. </w:t>
      </w:r>
      <w:r w:rsidRPr="007139EB">
        <w:rPr>
          <w:rFonts w:eastAsia="Calibri"/>
          <w:bCs/>
          <w:lang w:eastAsia="en-US"/>
        </w:rPr>
        <w:t xml:space="preserve">Badania laboratoryjne 2 partii płynów do spryskiwaczy: w zakresie ustalenia zawartości metanolu oraz temperatury krystalizacji nieprawidłowości nie wykazały. </w:t>
      </w:r>
      <w:r w:rsidRPr="007139EB">
        <w:rPr>
          <w:rFonts w:eastAsia="Times New Roman"/>
        </w:rPr>
        <w:t xml:space="preserve">Ponadto u 1 przedsiębiorcy </w:t>
      </w:r>
      <w:r w:rsidRPr="007139EB">
        <w:rPr>
          <w:rFonts w:eastAsia="Calibri"/>
          <w:bCs/>
          <w:lang w:eastAsia="en-US"/>
        </w:rPr>
        <w:t xml:space="preserve">stwierdzono brak uwidocznionych informacji o opakowaniach i odpadach opakowaniowych </w:t>
      </w:r>
      <w:r w:rsidRPr="007139EB">
        <w:rPr>
          <w:rFonts w:eastAsia="Times New Roman"/>
          <w:bCs/>
        </w:rPr>
        <w:t>w zakresie: dostępnych systemów zwrotu, zbiórki i odzysku, w tym recyklingu odpadów opakowaniowych, właściwego postępowania z odpadami opakowaniowymi, znaczenia oznaczeń stosowanych na opakowaniach, które uwidoczniono w trakcie kontroli.</w:t>
      </w:r>
    </w:p>
    <w:p w:rsidR="007139EB" w:rsidRPr="007139EB" w:rsidRDefault="007139EB" w:rsidP="007139EB">
      <w:pPr>
        <w:ind w:firstLine="708"/>
        <w:jc w:val="both"/>
        <w:rPr>
          <w:rFonts w:eastAsia="Times New Roman"/>
        </w:rPr>
      </w:pPr>
    </w:p>
    <w:p w:rsidR="007139EB" w:rsidRPr="007139EB" w:rsidRDefault="007139EB" w:rsidP="007139EB">
      <w:pPr>
        <w:ind w:firstLine="708"/>
        <w:jc w:val="both"/>
        <w:rPr>
          <w:rFonts w:eastAsia="Calibri"/>
          <w:bCs/>
          <w:lang w:eastAsia="en-US"/>
        </w:rPr>
      </w:pPr>
      <w:r w:rsidRPr="007139EB">
        <w:rPr>
          <w:rFonts w:eastAsia="Times New Roman"/>
          <w:bCs/>
        </w:rPr>
        <w:t xml:space="preserve">Realizując program kontroli </w:t>
      </w:r>
      <w:r w:rsidRPr="007139EB">
        <w:rPr>
          <w:rFonts w:eastAsia="Times New Roman"/>
          <w:b/>
          <w:bCs/>
        </w:rPr>
        <w:t xml:space="preserve">wyrobów pod względem zawartości niektórych substancji chemicznych, </w:t>
      </w:r>
      <w:r w:rsidRPr="007139EB">
        <w:rPr>
          <w:rFonts w:eastAsia="Times New Roman"/>
          <w:bCs/>
        </w:rPr>
        <w:t xml:space="preserve">przeprowadzono </w:t>
      </w:r>
      <w:r w:rsidRPr="007139EB">
        <w:rPr>
          <w:rFonts w:eastAsia="Times New Roman"/>
          <w:b/>
          <w:bCs/>
        </w:rPr>
        <w:t>10 kontroli</w:t>
      </w:r>
      <w:r w:rsidRPr="007139EB">
        <w:rPr>
          <w:rFonts w:eastAsia="Times New Roman"/>
          <w:bCs/>
        </w:rPr>
        <w:t xml:space="preserve"> u 9 przedsiębiorców. </w:t>
      </w:r>
      <w:r w:rsidRPr="007139EB">
        <w:rPr>
          <w:rFonts w:eastAsia="Times New Roman"/>
        </w:rPr>
        <w:t xml:space="preserve">Badaniom laboratoryjnym poddano  </w:t>
      </w:r>
      <w:r w:rsidRPr="007139EB">
        <w:rPr>
          <w:rFonts w:eastAsia="Calibri"/>
          <w:b/>
          <w:bCs/>
          <w:lang w:eastAsia="en-US"/>
        </w:rPr>
        <w:t>8 wyrobów</w:t>
      </w:r>
      <w:r w:rsidRPr="007139EB">
        <w:rPr>
          <w:rFonts w:eastAsia="Calibri"/>
          <w:bCs/>
          <w:lang w:eastAsia="en-US"/>
        </w:rPr>
        <w:t xml:space="preserve">. Badaniem objęto: kubek ze słomką – zbadany na zawartość </w:t>
      </w:r>
      <w:proofErr w:type="spellStart"/>
      <w:r w:rsidRPr="007139EB">
        <w:rPr>
          <w:rFonts w:eastAsia="Calibri"/>
          <w:bCs/>
          <w:lang w:eastAsia="en-US"/>
        </w:rPr>
        <w:t>ftalanów</w:t>
      </w:r>
      <w:proofErr w:type="spellEnd"/>
      <w:r w:rsidRPr="007139EB">
        <w:rPr>
          <w:rFonts w:eastAsia="Calibri"/>
          <w:bCs/>
          <w:lang w:eastAsia="en-US"/>
        </w:rPr>
        <w:t xml:space="preserve">, 3 partie biżuterii sztucznej (2 naszyjniki i bransoletka) – zbadane na zawartość kadmu i niklu, 1 wyrób z tworzywa sztucznego (kubek toaletowy) – zbadany na zawartość kadmu, 1 produkt włókienniczy dla dzieci, zawierający metalowe akcesoria krawieckie (spodnie chłopięce) – zbadany na zawartość niklu, 2 produkty skórzane, w tym 1 produkt (pasek do zegarka) zbadany na zawartość amin aromatycznych i 1 produkt (rękawiczki damskie) zbadany na zawartość chromu VI. W wyniku przeprowadzonych badań zakwestionowano </w:t>
      </w:r>
      <w:r w:rsidRPr="007139EB">
        <w:rPr>
          <w:rFonts w:eastAsia="Calibri"/>
          <w:b/>
          <w:bCs/>
          <w:lang w:eastAsia="en-US"/>
        </w:rPr>
        <w:t>1 wyrób</w:t>
      </w:r>
      <w:r w:rsidRPr="007139EB">
        <w:rPr>
          <w:rFonts w:eastAsia="Calibri"/>
          <w:bCs/>
          <w:lang w:eastAsia="en-US"/>
        </w:rPr>
        <w:t xml:space="preserve">, tj. naszyjnik z metalu nieszlachetnego złotego z kamieniem, w którym stwierdzono </w:t>
      </w:r>
      <w:r w:rsidRPr="007139EB">
        <w:rPr>
          <w:rFonts w:eastAsia="Calibri"/>
          <w:b/>
          <w:bCs/>
          <w:lang w:eastAsia="en-US"/>
        </w:rPr>
        <w:t>zawartość kadmu w wisiorze w ilości (126 ± 11) mg/kg i ołowiu w ilości powyżej 4444 mg/kg,</w:t>
      </w:r>
      <w:r w:rsidRPr="007139EB">
        <w:rPr>
          <w:rFonts w:eastAsia="Calibri"/>
          <w:bCs/>
          <w:lang w:eastAsia="en-US"/>
        </w:rPr>
        <w:t xml:space="preserve"> a także obecność kadmu w łańcuszku i zapięciu w ilości mniejszej niż 9,6 mg/kg. Przedsiębiorca wycofał z obrotu kwestionowany naszyjnik, a następnie dokonał jego zniszczenia. </w:t>
      </w:r>
    </w:p>
    <w:p w:rsidR="007139EB" w:rsidRPr="007139EB" w:rsidRDefault="007139EB" w:rsidP="007139EB">
      <w:pPr>
        <w:rPr>
          <w:rFonts w:eastAsia="Times New Roman"/>
          <w:lang w:eastAsia="zh-CN"/>
        </w:rPr>
      </w:pPr>
    </w:p>
    <w:p w:rsidR="007139EB" w:rsidRPr="007139EB" w:rsidRDefault="007139EB" w:rsidP="007139EB">
      <w:pPr>
        <w:ind w:firstLine="708"/>
        <w:jc w:val="both"/>
        <w:rPr>
          <w:rFonts w:eastAsia="Calibri"/>
          <w:lang w:eastAsia="en-US"/>
        </w:rPr>
      </w:pPr>
      <w:r w:rsidRPr="007139EB">
        <w:rPr>
          <w:rFonts w:ascii="Calibri" w:eastAsia="Calibri" w:hAnsi="Calibri"/>
          <w:b/>
          <w:sz w:val="22"/>
          <w:szCs w:val="22"/>
          <w:lang w:eastAsia="en-US"/>
        </w:rPr>
        <w:t xml:space="preserve"> </w:t>
      </w:r>
      <w:r w:rsidRPr="007139EB">
        <w:rPr>
          <w:rFonts w:eastAsia="Calibri"/>
          <w:lang w:eastAsia="en-US"/>
        </w:rPr>
        <w:t>W roku 2016 przeprowadzono</w:t>
      </w:r>
      <w:r w:rsidRPr="007139EB">
        <w:rPr>
          <w:rFonts w:eastAsia="Calibri"/>
          <w:b/>
          <w:lang w:eastAsia="en-US"/>
        </w:rPr>
        <w:t xml:space="preserve"> 11 kontroli prawidłowości obrotu akumulatorami samochodowymi i bateriami. </w:t>
      </w:r>
      <w:r w:rsidRPr="007139EB">
        <w:rPr>
          <w:rFonts w:eastAsia="Calibri"/>
          <w:lang w:eastAsia="en-US"/>
        </w:rPr>
        <w:t xml:space="preserve">Skontrolowano 3 hurtownie i 8 placówek detalicznych. Pięć, spośród objętych kontrolą placówek, prowadziło sprzedaż akumulatorów samochodowych, pozostałe w sprzedaży posiadały baterie i akumulatory przenośne. Sprawdzeniem objęto łącznie </w:t>
      </w:r>
      <w:r w:rsidRPr="007139EB">
        <w:rPr>
          <w:rFonts w:eastAsia="Calibri"/>
          <w:b/>
          <w:lang w:eastAsia="en-US"/>
        </w:rPr>
        <w:t>51 partii</w:t>
      </w:r>
      <w:r w:rsidRPr="007139EB">
        <w:rPr>
          <w:rFonts w:eastAsia="Calibri"/>
          <w:lang w:eastAsia="en-US"/>
        </w:rPr>
        <w:t xml:space="preserve"> produktów, w tym: 21 partii akumulatorów samochodowych, 26 partii baterii i akumulatorów przenośnych (w tym 8 partii baterii ładowalnych),  4 partie sprzętu, w którym przewidziano do zainstalowania baterie bądź akumulatory . Do badań laboratoryjnych skierowano 4 partie baterii przenośnych</w:t>
      </w:r>
      <w:r w:rsidRPr="007139EB">
        <w:rPr>
          <w:rFonts w:eastAsia="Calibri"/>
          <w:lang w:eastAsia="zh-CN"/>
        </w:rPr>
        <w:t xml:space="preserve"> w zakresie ustalenia zawartości kadmu, ołowiu i rtęci. Nieprawidłowości ujawniono w </w:t>
      </w:r>
      <w:r w:rsidRPr="007139EB">
        <w:rPr>
          <w:rFonts w:eastAsia="Calibri"/>
          <w:b/>
          <w:bCs/>
          <w:lang w:eastAsia="zh-CN"/>
        </w:rPr>
        <w:t>4</w:t>
      </w:r>
      <w:r w:rsidRPr="007139EB">
        <w:rPr>
          <w:rFonts w:eastAsia="Calibri"/>
          <w:b/>
          <w:lang w:eastAsia="zh-CN"/>
        </w:rPr>
        <w:t xml:space="preserve"> podmiotach</w:t>
      </w:r>
      <w:r w:rsidRPr="007139EB">
        <w:rPr>
          <w:rFonts w:eastAsia="Calibri"/>
          <w:lang w:eastAsia="zh-CN"/>
        </w:rPr>
        <w:t xml:space="preserve">, co stanowi </w:t>
      </w:r>
      <w:r w:rsidRPr="007139EB">
        <w:rPr>
          <w:rFonts w:eastAsia="Calibri"/>
          <w:b/>
          <w:bCs/>
          <w:lang w:eastAsia="zh-CN"/>
        </w:rPr>
        <w:t>36</w:t>
      </w:r>
      <w:r w:rsidRPr="007139EB">
        <w:rPr>
          <w:rFonts w:eastAsia="Calibri"/>
          <w:lang w:eastAsia="zh-CN"/>
        </w:rPr>
        <w:t>% ogółem skontrolowanych i polegały one na:</w:t>
      </w:r>
      <w:r w:rsidRPr="007139EB">
        <w:rPr>
          <w:rFonts w:eastAsia="Calibri"/>
          <w:lang w:eastAsia="en-US"/>
        </w:rPr>
        <w:t xml:space="preserve"> </w:t>
      </w:r>
      <w:r w:rsidRPr="007139EB">
        <w:rPr>
          <w:rFonts w:eastAsia="Calibri"/>
          <w:lang w:eastAsia="zh-CN"/>
        </w:rPr>
        <w:t>nie uwidocznieniu w 1 placówce informacji o trybie i warunkach zwrotu zużytych akumulatorów samochodowych kwasowo-ołowiowych oraz możliwości zwrotu pobranej opłaty depozytowej, a także informacji o punktach zbierania zużytych akumulatorów, zorganizowanych przez wprowadzającego akumulatory oraz nie przekazywaniu zbieranych zużytych baterii i zużytych akumulatorów zbierającemu zużyte baterie i zużyte akumulatory, umieszczenia w sklepie niewłaściwej informacji o  pobieranej opłacie depozytowej,</w:t>
      </w:r>
      <w:r w:rsidRPr="007139EB">
        <w:rPr>
          <w:rFonts w:eastAsia="Calibri"/>
          <w:lang w:eastAsia="en-US"/>
        </w:rPr>
        <w:t xml:space="preserve"> </w:t>
      </w:r>
      <w:r w:rsidRPr="007139EB">
        <w:rPr>
          <w:rFonts w:eastAsia="Calibri"/>
          <w:lang w:eastAsia="zh-CN"/>
        </w:rPr>
        <w:t xml:space="preserve">niewłaściwych (nieaktualnych) zapisach w kartach gwarancyjnych dołączanych do akumulatorów samochodowych  – dotyczy to </w:t>
      </w:r>
      <w:r w:rsidRPr="007139EB">
        <w:rPr>
          <w:rFonts w:eastAsia="Calibri"/>
          <w:b/>
          <w:lang w:eastAsia="zh-CN"/>
        </w:rPr>
        <w:t xml:space="preserve">12 partii </w:t>
      </w:r>
      <w:r w:rsidRPr="007139EB">
        <w:rPr>
          <w:rFonts w:eastAsia="Calibri"/>
          <w:lang w:eastAsia="zh-CN"/>
        </w:rPr>
        <w:t xml:space="preserve">wyrobu - w </w:t>
      </w:r>
      <w:r w:rsidRPr="007139EB">
        <w:rPr>
          <w:rFonts w:eastAsia="Calibri"/>
          <w:b/>
          <w:lang w:eastAsia="zh-CN"/>
        </w:rPr>
        <w:t>3 placówkach</w:t>
      </w:r>
      <w:r w:rsidRPr="007139EB">
        <w:rPr>
          <w:rFonts w:eastAsia="Calibri"/>
          <w:lang w:eastAsia="zh-CN"/>
        </w:rPr>
        <w:t>.</w:t>
      </w:r>
    </w:p>
    <w:p w:rsidR="007139EB" w:rsidRPr="007139EB" w:rsidRDefault="007139EB" w:rsidP="007139EB">
      <w:pPr>
        <w:ind w:firstLine="708"/>
        <w:jc w:val="both"/>
        <w:rPr>
          <w:rFonts w:eastAsia="Times New Roman"/>
        </w:rPr>
      </w:pPr>
    </w:p>
    <w:p w:rsidR="007139EB" w:rsidRPr="007139EB" w:rsidRDefault="007139EB" w:rsidP="007139EB">
      <w:pPr>
        <w:suppressAutoHyphens/>
        <w:ind w:firstLine="720"/>
        <w:jc w:val="both"/>
        <w:rPr>
          <w:rFonts w:eastAsia="Calibri"/>
          <w:lang w:eastAsia="en-US"/>
        </w:rPr>
      </w:pPr>
      <w:r w:rsidRPr="007139EB">
        <w:rPr>
          <w:rFonts w:eastAsia="Times New Roman"/>
          <w:lang w:eastAsia="zh-CN"/>
        </w:rPr>
        <w:t xml:space="preserve">Celem </w:t>
      </w:r>
      <w:r w:rsidRPr="007139EB">
        <w:rPr>
          <w:rFonts w:eastAsia="Times New Roman"/>
          <w:b/>
          <w:lang w:eastAsia="zh-CN"/>
        </w:rPr>
        <w:t>3 kontroli,</w:t>
      </w:r>
      <w:r w:rsidRPr="007139EB">
        <w:rPr>
          <w:rFonts w:eastAsia="Times New Roman"/>
          <w:lang w:eastAsia="zh-CN"/>
        </w:rPr>
        <w:t xml:space="preserve"> było przede wszystkim </w:t>
      </w:r>
      <w:r w:rsidRPr="007139EB">
        <w:rPr>
          <w:rFonts w:eastAsia="Times New Roman"/>
          <w:b/>
          <w:lang w:eastAsia="zh-CN"/>
        </w:rPr>
        <w:t>dokonanie oceny prawidłowości oznakowania opon</w:t>
      </w:r>
      <w:r w:rsidRPr="007139EB">
        <w:rPr>
          <w:rFonts w:eastAsia="Times New Roman"/>
          <w:lang w:eastAsia="zh-CN"/>
        </w:rPr>
        <w:t xml:space="preserve"> znajdujących się w obrocie zgodnie z rozporządzeniem Parlamentu Europejskiego i Rady (WE) Nr 1222/2009 z dnia 25 listopada 2009 r. w sprawie etykietowania opon pod kątem efektywności paliwowej i innych zasadniczych parametrów (Dz. U. UE. L. z 2009 r. Nr 342, s.46). Kontrolą łącznie objęto </w:t>
      </w:r>
      <w:r w:rsidRPr="007139EB">
        <w:rPr>
          <w:rFonts w:eastAsia="Times New Roman"/>
          <w:b/>
          <w:lang w:eastAsia="zh-CN"/>
        </w:rPr>
        <w:t>10 partii opon</w:t>
      </w:r>
      <w:r w:rsidRPr="007139EB">
        <w:rPr>
          <w:rFonts w:eastAsia="Times New Roman"/>
          <w:lang w:eastAsia="zh-CN"/>
        </w:rPr>
        <w:t xml:space="preserve">, w tym 7, których kontrolowani byli wyłącznie dystrybutorami oraz 3, których kontrolowany był dostawcą. Nieprawidłowości w zakresie oznakowania sprawdzanych opon </w:t>
      </w:r>
      <w:r w:rsidRPr="007139EB">
        <w:rPr>
          <w:rFonts w:eastAsia="Times New Roman"/>
          <w:b/>
          <w:lang w:eastAsia="zh-CN"/>
        </w:rPr>
        <w:t xml:space="preserve">nie </w:t>
      </w:r>
      <w:r w:rsidRPr="007139EB">
        <w:rPr>
          <w:rFonts w:eastAsia="Times New Roman"/>
          <w:b/>
          <w:lang w:eastAsia="zh-CN"/>
        </w:rPr>
        <w:lastRenderedPageBreak/>
        <w:t xml:space="preserve">stwierdzono. </w:t>
      </w:r>
      <w:r w:rsidRPr="007139EB">
        <w:rPr>
          <w:rFonts w:eastAsia="Calibri"/>
          <w:lang w:eastAsia="en-US"/>
        </w:rPr>
        <w:t xml:space="preserve">W wyniku przeprowadzonych kontroli uchybienia stwierdzono w 1 placówce, które polegały na </w:t>
      </w:r>
      <w:r w:rsidRPr="007139EB">
        <w:rPr>
          <w:rFonts w:eastAsia="Calibri"/>
          <w:b/>
          <w:lang w:eastAsia="en-US"/>
        </w:rPr>
        <w:t>nie udostępnianiu nabywcom informacji o sprzedanych oponach</w:t>
      </w:r>
      <w:r w:rsidRPr="007139EB">
        <w:rPr>
          <w:rFonts w:eastAsia="Calibri"/>
          <w:lang w:eastAsia="en-US"/>
        </w:rPr>
        <w:t xml:space="preserve"> (na dowodzie zakupu bądź na odrębnie sporządzonej ulotce stanowiącej nieodłączny element sprzedanych opon) m. innymi o klasie efektywności paliwowej, wartości pomiarowej zewnętrznego hałasu toczenia oraz klasie przyczepności na mokrej nawierzchni.</w:t>
      </w:r>
    </w:p>
    <w:p w:rsidR="007139EB" w:rsidRPr="007139EB" w:rsidRDefault="007139EB" w:rsidP="007139EB">
      <w:pPr>
        <w:suppressAutoHyphens/>
        <w:ind w:firstLine="720"/>
        <w:jc w:val="both"/>
        <w:rPr>
          <w:rFonts w:eastAsia="Times New Roman"/>
          <w:lang w:eastAsia="zh-CN"/>
        </w:rPr>
      </w:pPr>
    </w:p>
    <w:p w:rsidR="007139EB" w:rsidRPr="007139EB" w:rsidRDefault="007139EB" w:rsidP="007139EB">
      <w:pPr>
        <w:ind w:firstLine="709"/>
        <w:jc w:val="both"/>
        <w:rPr>
          <w:rFonts w:eastAsia="Calibri"/>
          <w:bCs/>
          <w:lang w:eastAsia="en-US"/>
        </w:rPr>
      </w:pPr>
      <w:r w:rsidRPr="007139EB">
        <w:rPr>
          <w:rFonts w:eastAsia="Times New Roman"/>
        </w:rPr>
        <w:t>P</w:t>
      </w:r>
      <w:r w:rsidRPr="007139EB">
        <w:rPr>
          <w:rFonts w:eastAsia="Calibri"/>
          <w:bCs/>
          <w:lang w:eastAsia="en-US"/>
        </w:rPr>
        <w:t xml:space="preserve">rzeprowadzono </w:t>
      </w:r>
      <w:r w:rsidRPr="007139EB">
        <w:rPr>
          <w:rFonts w:eastAsia="Calibri"/>
          <w:b/>
          <w:bCs/>
          <w:lang w:eastAsia="en-US"/>
        </w:rPr>
        <w:t>4 kontrole</w:t>
      </w:r>
      <w:r w:rsidRPr="007139EB">
        <w:rPr>
          <w:rFonts w:eastAsia="Calibri"/>
          <w:bCs/>
          <w:lang w:eastAsia="en-US"/>
        </w:rPr>
        <w:t xml:space="preserve">, których celem była ocena </w:t>
      </w:r>
      <w:r w:rsidRPr="007139EB">
        <w:rPr>
          <w:rFonts w:eastAsia="Calibri"/>
          <w:b/>
          <w:bCs/>
          <w:lang w:eastAsia="en-US"/>
        </w:rPr>
        <w:t>jakości węgla przeznaczonego do wykorzystania w gospodarstwach domowych w piecach c.o. (</w:t>
      </w:r>
      <w:proofErr w:type="spellStart"/>
      <w:r w:rsidRPr="007139EB">
        <w:rPr>
          <w:rFonts w:eastAsia="Calibri"/>
          <w:b/>
          <w:bCs/>
          <w:lang w:eastAsia="en-US"/>
        </w:rPr>
        <w:t>ekogroszku</w:t>
      </w:r>
      <w:proofErr w:type="spellEnd"/>
      <w:r w:rsidRPr="007139EB">
        <w:rPr>
          <w:rFonts w:eastAsia="Calibri"/>
          <w:b/>
          <w:bCs/>
          <w:lang w:eastAsia="en-US"/>
        </w:rPr>
        <w:t>)</w:t>
      </w:r>
      <w:r w:rsidRPr="007139EB">
        <w:rPr>
          <w:rFonts w:eastAsia="Calibri"/>
          <w:bCs/>
          <w:lang w:eastAsia="en-US"/>
        </w:rPr>
        <w:t xml:space="preserve">, oferowanego do sprzedaży w placówkach detalicznych w opakowaniach jednostkowych. Ocenę jakości węgla oparto o wyniki badań laboratoryjnych 5 parametrów, tj. ciepło spalania, wartość opałową, zawartość siarki, popiołu i wilgoci. Kontrole przeprowadzono w 3 składach opału oraz w 1 hipermarkecie budowlanym. Zakwestionowano </w:t>
      </w:r>
      <w:r w:rsidRPr="007139EB">
        <w:rPr>
          <w:rFonts w:eastAsia="Calibri"/>
          <w:b/>
          <w:bCs/>
          <w:lang w:eastAsia="en-US"/>
        </w:rPr>
        <w:t xml:space="preserve">3 próbki </w:t>
      </w:r>
      <w:proofErr w:type="spellStart"/>
      <w:r w:rsidRPr="007139EB">
        <w:rPr>
          <w:rFonts w:eastAsia="Calibri"/>
          <w:b/>
          <w:bCs/>
          <w:lang w:eastAsia="en-US"/>
        </w:rPr>
        <w:t>ekogroszku</w:t>
      </w:r>
      <w:proofErr w:type="spellEnd"/>
      <w:r w:rsidRPr="007139EB">
        <w:rPr>
          <w:rFonts w:eastAsia="Calibri"/>
          <w:bCs/>
          <w:lang w:eastAsia="en-US"/>
        </w:rPr>
        <w:t xml:space="preserve">, co stanowi </w:t>
      </w:r>
      <w:r w:rsidRPr="007139EB">
        <w:rPr>
          <w:rFonts w:eastAsia="Calibri"/>
          <w:b/>
          <w:bCs/>
          <w:lang w:eastAsia="en-US"/>
        </w:rPr>
        <w:t>75% ogółem zbadanych</w:t>
      </w:r>
      <w:r w:rsidRPr="007139EB">
        <w:rPr>
          <w:rFonts w:eastAsia="Calibri"/>
          <w:bCs/>
          <w:lang w:eastAsia="en-US"/>
        </w:rPr>
        <w:t>. W wyniku badań kwestionowano:  zawartość wilgoci (3 przypadki), , ciepło spalania (2 przypadki), wartość opałowa (2 przypadki) i  zawartość popiołu (1 przypadek).</w:t>
      </w:r>
    </w:p>
    <w:p w:rsidR="007139EB" w:rsidRPr="007139EB" w:rsidRDefault="007139EB" w:rsidP="007139EB">
      <w:pPr>
        <w:tabs>
          <w:tab w:val="left" w:pos="851"/>
        </w:tabs>
        <w:suppressAutoHyphens/>
        <w:jc w:val="both"/>
        <w:rPr>
          <w:rFonts w:eastAsia="Times New Roman"/>
          <w:spacing w:val="-10"/>
        </w:rPr>
      </w:pPr>
      <w:r w:rsidRPr="007139EB">
        <w:rPr>
          <w:rFonts w:eastAsia="Times New Roman"/>
        </w:rPr>
        <w:tab/>
      </w:r>
    </w:p>
    <w:p w:rsidR="007139EB" w:rsidRPr="007139EB" w:rsidRDefault="007139EB" w:rsidP="007139EB">
      <w:pPr>
        <w:ind w:firstLine="708"/>
        <w:jc w:val="both"/>
        <w:rPr>
          <w:rFonts w:eastAsia="Calibri"/>
          <w:b/>
          <w:lang w:eastAsia="en-US"/>
        </w:rPr>
      </w:pPr>
      <w:r w:rsidRPr="007139EB">
        <w:rPr>
          <w:rFonts w:eastAsia="Calibri"/>
          <w:b/>
          <w:lang w:eastAsia="en-US"/>
        </w:rPr>
        <w:t xml:space="preserve">Prawidłowość wprowadzania do obrotu pojazdów, przedmiotów wyposażenia lub części  samochodowych (homologacja) </w:t>
      </w:r>
      <w:r w:rsidRPr="007139EB">
        <w:rPr>
          <w:rFonts w:eastAsia="Calibri"/>
          <w:lang w:eastAsia="en-US"/>
        </w:rPr>
        <w:t xml:space="preserve">badano w trakcie  </w:t>
      </w:r>
      <w:r w:rsidRPr="007139EB">
        <w:rPr>
          <w:rFonts w:eastAsia="Calibri"/>
          <w:b/>
          <w:lang w:eastAsia="en-US"/>
        </w:rPr>
        <w:t>5 kontroli</w:t>
      </w:r>
      <w:r w:rsidRPr="007139EB">
        <w:rPr>
          <w:rFonts w:eastAsia="Calibri"/>
          <w:lang w:eastAsia="en-US"/>
        </w:rPr>
        <w:t xml:space="preserve"> placówek detalicznych. Kontrolą objęto </w:t>
      </w:r>
      <w:r w:rsidRPr="007139EB">
        <w:rPr>
          <w:rFonts w:eastAsia="Calibri"/>
          <w:b/>
          <w:lang w:eastAsia="en-US"/>
        </w:rPr>
        <w:t>15 partii części samochodowych</w:t>
      </w:r>
      <w:r w:rsidRPr="007139EB">
        <w:rPr>
          <w:rFonts w:eastAsia="Calibri"/>
          <w:lang w:eastAsia="en-US"/>
        </w:rPr>
        <w:t xml:space="preserve"> (klocki hamulcowe, szczęki hamulcowe, żarówki samochodowe).</w:t>
      </w:r>
      <w:r w:rsidRPr="007139EB">
        <w:rPr>
          <w:rFonts w:eastAsia="Calibri"/>
          <w:b/>
          <w:lang w:eastAsia="en-US"/>
        </w:rPr>
        <w:t xml:space="preserve"> </w:t>
      </w:r>
      <w:r w:rsidRPr="007139EB">
        <w:rPr>
          <w:rFonts w:eastAsia="Calibri"/>
          <w:lang w:eastAsia="en-US"/>
        </w:rPr>
        <w:t xml:space="preserve">Nieprawidłowości polegające na braku wymaganych informacji w dołączonej do wyrobu instrukcji montażu stwierdzono w odniesieniu do </w:t>
      </w:r>
      <w:r w:rsidRPr="007139EB">
        <w:rPr>
          <w:rFonts w:eastAsia="Calibri"/>
          <w:b/>
          <w:lang w:eastAsia="en-US"/>
        </w:rPr>
        <w:t>1 partii</w:t>
      </w:r>
      <w:r w:rsidRPr="007139EB">
        <w:rPr>
          <w:rFonts w:eastAsia="Calibri"/>
          <w:lang w:eastAsia="en-US"/>
        </w:rPr>
        <w:t xml:space="preserve"> klocków hamulcowych.</w:t>
      </w:r>
    </w:p>
    <w:p w:rsidR="007139EB" w:rsidRPr="007139EB" w:rsidRDefault="007139EB" w:rsidP="007139EB">
      <w:pPr>
        <w:ind w:firstLine="708"/>
        <w:jc w:val="both"/>
        <w:rPr>
          <w:rFonts w:eastAsia="Times New Roman"/>
        </w:rPr>
      </w:pPr>
    </w:p>
    <w:p w:rsidR="007139EB" w:rsidRPr="007139EB" w:rsidRDefault="007139EB" w:rsidP="007139EB">
      <w:pPr>
        <w:ind w:firstLine="708"/>
        <w:jc w:val="both"/>
        <w:rPr>
          <w:rFonts w:eastAsia="Times New Roman"/>
          <w:bCs/>
        </w:rPr>
      </w:pPr>
      <w:r w:rsidRPr="007139EB">
        <w:rPr>
          <w:rFonts w:eastAsia="Times New Roman"/>
        </w:rPr>
        <w:t xml:space="preserve">Realizując program kontroli stacji paliw w zakresie </w:t>
      </w:r>
      <w:r w:rsidRPr="007139EB">
        <w:rPr>
          <w:rFonts w:eastAsia="Times New Roman"/>
          <w:b/>
        </w:rPr>
        <w:t>legalności i rzetelności prowadzonej działalności gospodarczej w tym uwidocznianie informacji o zawartości biokomponentów w paliwach ciekłych</w:t>
      </w:r>
      <w:r w:rsidRPr="007139EB">
        <w:rPr>
          <w:rFonts w:eastAsia="Times New Roman"/>
        </w:rPr>
        <w:t xml:space="preserve">, sprawdzeniem objęto </w:t>
      </w:r>
      <w:r w:rsidRPr="007139EB">
        <w:rPr>
          <w:rFonts w:eastAsia="Times New Roman"/>
          <w:b/>
        </w:rPr>
        <w:t>47 stacji paliw</w:t>
      </w:r>
      <w:r w:rsidRPr="007139EB">
        <w:rPr>
          <w:rFonts w:eastAsia="Times New Roman"/>
        </w:rPr>
        <w:t xml:space="preserve">, ponadto w 40 stacjach dodatkowo sprawdzano również legalność prowadzonej działalności i przestrzeganie przepisów dotyczących informowania o cenach towarów i usług. Nieprawidłowości  w wykonywaniu obowiązków wynikających z </w:t>
      </w:r>
      <w:r w:rsidRPr="007139EB">
        <w:rPr>
          <w:rFonts w:eastAsia="Times New Roman"/>
          <w:bCs/>
        </w:rPr>
        <w:t xml:space="preserve">ustawy z dnia 9 maja 2014 r. o informowaniu o cenach towarów i usług, </w:t>
      </w:r>
      <w:r w:rsidRPr="007139EB">
        <w:rPr>
          <w:rFonts w:eastAsia="Times New Roman"/>
        </w:rPr>
        <w:t>polegające</w:t>
      </w:r>
      <w:r w:rsidRPr="007139EB">
        <w:rPr>
          <w:rFonts w:eastAsia="Times New Roman"/>
          <w:bCs/>
        </w:rPr>
        <w:t xml:space="preserve"> głównie na nieuwidocznieniu cen jednostkowych towarów stwierdzono w </w:t>
      </w:r>
      <w:r w:rsidRPr="007139EB">
        <w:rPr>
          <w:rFonts w:eastAsia="Times New Roman"/>
          <w:b/>
          <w:bCs/>
        </w:rPr>
        <w:t>18 stacjach</w:t>
      </w:r>
      <w:r w:rsidRPr="007139EB">
        <w:rPr>
          <w:rFonts w:eastAsia="Times New Roman"/>
          <w:bCs/>
        </w:rPr>
        <w:t xml:space="preserve"> paliw. Braku na stacjach informacji o zawartości biokomponentów nie stwierdzono.</w:t>
      </w:r>
    </w:p>
    <w:p w:rsidR="007139EB" w:rsidRPr="007139EB" w:rsidRDefault="007139EB" w:rsidP="007139EB">
      <w:pPr>
        <w:ind w:firstLine="708"/>
        <w:jc w:val="both"/>
        <w:rPr>
          <w:rFonts w:eastAsia="Times New Roman"/>
          <w:bCs/>
        </w:rPr>
      </w:pPr>
      <w:r w:rsidRPr="007139EB">
        <w:rPr>
          <w:rFonts w:eastAsia="Times New Roman"/>
          <w:bCs/>
        </w:rPr>
        <w:t xml:space="preserve">  </w:t>
      </w:r>
    </w:p>
    <w:p w:rsidR="007139EB" w:rsidRPr="007139EB" w:rsidRDefault="007139EB" w:rsidP="007139EB">
      <w:pPr>
        <w:ind w:firstLine="709"/>
        <w:jc w:val="both"/>
        <w:rPr>
          <w:rFonts w:eastAsia="Calibri"/>
          <w:bCs/>
          <w:lang w:eastAsia="en-US"/>
        </w:rPr>
      </w:pPr>
      <w:r w:rsidRPr="007139EB">
        <w:rPr>
          <w:rFonts w:eastAsia="Calibri"/>
          <w:bCs/>
          <w:lang w:eastAsia="en-US"/>
        </w:rPr>
        <w:t>Celem</w:t>
      </w:r>
      <w:r w:rsidRPr="007139EB">
        <w:rPr>
          <w:rFonts w:eastAsia="Calibri"/>
          <w:b/>
          <w:bCs/>
          <w:lang w:eastAsia="en-US"/>
        </w:rPr>
        <w:t xml:space="preserve"> 5 kontroli</w:t>
      </w:r>
      <w:r w:rsidRPr="007139EB">
        <w:rPr>
          <w:rFonts w:eastAsia="Calibri"/>
          <w:bCs/>
          <w:lang w:eastAsia="en-US"/>
        </w:rPr>
        <w:t xml:space="preserve"> było sprawdzenie </w:t>
      </w:r>
      <w:r w:rsidRPr="007139EB">
        <w:rPr>
          <w:rFonts w:eastAsia="Calibri"/>
          <w:b/>
          <w:bCs/>
          <w:lang w:eastAsia="en-US"/>
        </w:rPr>
        <w:t>legalności działania przedsiębiorców prowadzących sprzedaż produktów i usług przez Internet.</w:t>
      </w:r>
      <w:r w:rsidRPr="007139EB">
        <w:rPr>
          <w:rFonts w:eastAsia="Calibri"/>
          <w:bCs/>
          <w:lang w:eastAsia="en-US"/>
        </w:rPr>
        <w:t xml:space="preserve"> Kontrolą objęto sklepy internetowe prowadzące sprzedaż odzieży damskiej, męskiej i dziecięcej, obuwia damskiego i męskiego oraz akcesoriów i sprzętu </w:t>
      </w:r>
      <w:proofErr w:type="spellStart"/>
      <w:r w:rsidRPr="007139EB">
        <w:rPr>
          <w:rFonts w:eastAsia="Calibri"/>
          <w:bCs/>
          <w:lang w:eastAsia="en-US"/>
        </w:rPr>
        <w:t>agd</w:t>
      </w:r>
      <w:proofErr w:type="spellEnd"/>
      <w:r w:rsidRPr="007139EB">
        <w:rPr>
          <w:rFonts w:eastAsia="Calibri"/>
          <w:bCs/>
          <w:lang w:eastAsia="en-US"/>
        </w:rPr>
        <w:t xml:space="preserve"> do domu. Trzy z nich oferowały swoje towary na portalu Allegro.pl. Wszyscy przedsiębiorcy kontrolowani byli po raz pierwszy. Nieprawidłowości stwierdzono w działalności wszystkich </w:t>
      </w:r>
      <w:r w:rsidRPr="007139EB">
        <w:rPr>
          <w:rFonts w:eastAsia="Calibri"/>
          <w:b/>
          <w:bCs/>
          <w:lang w:eastAsia="en-US"/>
        </w:rPr>
        <w:t xml:space="preserve">5 placówek. </w:t>
      </w:r>
      <w:r w:rsidRPr="007139EB">
        <w:rPr>
          <w:rFonts w:eastAsia="Calibri"/>
          <w:bCs/>
          <w:lang w:eastAsia="en-US"/>
        </w:rPr>
        <w:t>Głównie kontrolowani przedsiębiorcy na swoich stronach internetowych nie zamieścili informacji wymaganych ustawą z dnia 30 maja 2014 roku o prawach konsumenta, w tym m.in.: organie, który zarejestrował działalność gospodarczą przedsiębiorcy</w:t>
      </w:r>
      <w:r w:rsidR="003F0889">
        <w:rPr>
          <w:rFonts w:eastAsia="Calibri"/>
          <w:bCs/>
          <w:lang w:eastAsia="en-US"/>
        </w:rPr>
        <w:t>,</w:t>
      </w:r>
      <w:r w:rsidRPr="007139EB">
        <w:rPr>
          <w:rFonts w:eastAsia="Calibri"/>
          <w:bCs/>
          <w:lang w:eastAsia="en-US"/>
        </w:rPr>
        <w:t xml:space="preserve"> o ograniczeniach dotyczących dostarczania towarów, terminie zapłaty, sposobie i terminie spełnienia świadczenia przez przedsiębiorcę oraz stosowanej przez przedsiębiorcę procedurze rozpatrywania reklamacji, wzorze formularza odstąpienia od umowy, kosztach zwrotu rzeczy w przypadku odstąpienia od umowy, które ponosi konsument, obowiązku przedsiębiorcy dostarczenia rzeczy bez wad, istnieniu i treści gwarancji oraz sposobie jej realizacji, możliwości skorzystania z pozasądowych sposobów rozpatrywania reklamacji i dochodzenia roszczeń oraz zasadach dostępu do tych procedur.</w:t>
      </w:r>
      <w:r w:rsidRPr="007139EB">
        <w:rPr>
          <w:rFonts w:ascii="Calibri" w:eastAsia="Calibri" w:hAnsi="Calibri"/>
          <w:bCs/>
          <w:sz w:val="22"/>
          <w:szCs w:val="22"/>
          <w:lang w:eastAsia="en-US"/>
        </w:rPr>
        <w:t xml:space="preserve"> </w:t>
      </w:r>
      <w:r w:rsidRPr="007139EB">
        <w:rPr>
          <w:rFonts w:eastAsia="Calibri"/>
          <w:bCs/>
          <w:lang w:eastAsia="en-US"/>
        </w:rPr>
        <w:t xml:space="preserve">W zakresie legalności prowadzonej działalności nieprawidłowości stwierdzono u </w:t>
      </w:r>
      <w:r w:rsidRPr="007139EB">
        <w:rPr>
          <w:rFonts w:eastAsia="Calibri"/>
          <w:b/>
          <w:bCs/>
          <w:lang w:eastAsia="en-US"/>
        </w:rPr>
        <w:t xml:space="preserve">2 przedsiębiorców: </w:t>
      </w:r>
      <w:r w:rsidRPr="007139EB">
        <w:rPr>
          <w:rFonts w:eastAsia="Calibri"/>
          <w:bCs/>
          <w:lang w:eastAsia="en-US"/>
        </w:rPr>
        <w:t xml:space="preserve">w jednym przypadku ustalono, że przedmiot faktycznie wykonywanej działalności wykraczał poza zakres określony w odpisie KRS. W drugim przypadku stwierdzono, że miejsce faktycznie </w:t>
      </w:r>
      <w:r w:rsidRPr="007139EB">
        <w:rPr>
          <w:rFonts w:eastAsia="Calibri"/>
          <w:bCs/>
          <w:lang w:eastAsia="en-US"/>
        </w:rPr>
        <w:lastRenderedPageBreak/>
        <w:t xml:space="preserve">prowadzonej działalności gospodarczej nie było zgodne z danymi zawartymi w odpisie KRS. Stwierdzone nieprawidłowości zostały wyeliminowane przez przedsiębiorców, poprzez uzupełnienie brakujących informacji na stronach internetowych. </w:t>
      </w:r>
    </w:p>
    <w:p w:rsidR="007139EB" w:rsidRPr="007139EB" w:rsidRDefault="007139EB" w:rsidP="007139EB">
      <w:pPr>
        <w:jc w:val="both"/>
        <w:rPr>
          <w:rFonts w:eastAsia="Times New Roman"/>
        </w:rPr>
      </w:pPr>
    </w:p>
    <w:p w:rsidR="007139EB" w:rsidRPr="007139EB" w:rsidRDefault="007139EB" w:rsidP="007139EB">
      <w:pPr>
        <w:suppressAutoHyphens/>
        <w:ind w:right="-312" w:firstLine="888"/>
        <w:jc w:val="both"/>
        <w:rPr>
          <w:rFonts w:eastAsia="Times New Roman"/>
          <w:bCs/>
          <w:lang w:eastAsia="zh-CN"/>
        </w:rPr>
      </w:pPr>
      <w:r w:rsidRPr="007139EB">
        <w:rPr>
          <w:rFonts w:eastAsia="Times New Roman"/>
          <w:szCs w:val="20"/>
          <w:lang w:eastAsia="zh-CN"/>
        </w:rPr>
        <w:t xml:space="preserve">Zagadnienie legalności i rzetelności działania przedsiębiorców świadczących  </w:t>
      </w:r>
      <w:r w:rsidRPr="007139EB">
        <w:rPr>
          <w:rFonts w:eastAsia="Times New Roman"/>
          <w:b/>
          <w:szCs w:val="20"/>
          <w:lang w:eastAsia="zh-CN"/>
        </w:rPr>
        <w:t xml:space="preserve">usługi w zakresie </w:t>
      </w:r>
      <w:proofErr w:type="spellStart"/>
      <w:r w:rsidRPr="007139EB">
        <w:rPr>
          <w:rFonts w:eastAsia="Times New Roman"/>
          <w:b/>
          <w:szCs w:val="20"/>
          <w:lang w:eastAsia="zh-CN"/>
        </w:rPr>
        <w:t>sal</w:t>
      </w:r>
      <w:proofErr w:type="spellEnd"/>
      <w:r w:rsidRPr="007139EB">
        <w:rPr>
          <w:rFonts w:eastAsia="Times New Roman"/>
          <w:b/>
          <w:szCs w:val="20"/>
          <w:lang w:eastAsia="zh-CN"/>
        </w:rPr>
        <w:t xml:space="preserve"> zabaw</w:t>
      </w:r>
      <w:r w:rsidRPr="007139EB">
        <w:rPr>
          <w:rFonts w:eastAsia="Times New Roman"/>
          <w:szCs w:val="20"/>
          <w:lang w:eastAsia="zh-CN"/>
        </w:rPr>
        <w:t xml:space="preserve"> </w:t>
      </w:r>
      <w:r w:rsidRPr="007139EB">
        <w:rPr>
          <w:rFonts w:eastAsia="HG Mincho Light J"/>
          <w:szCs w:val="20"/>
          <w:lang w:eastAsia="ar-SA"/>
        </w:rPr>
        <w:t xml:space="preserve">było przedmiotem </w:t>
      </w:r>
      <w:r w:rsidRPr="007139EB">
        <w:rPr>
          <w:rFonts w:eastAsia="HG Mincho Light J"/>
          <w:b/>
          <w:szCs w:val="20"/>
          <w:lang w:eastAsia="ar-SA"/>
        </w:rPr>
        <w:t xml:space="preserve">4 kontroli. </w:t>
      </w:r>
      <w:r w:rsidRPr="007139EB">
        <w:rPr>
          <w:rFonts w:eastAsia="Times New Roman"/>
        </w:rPr>
        <w:t xml:space="preserve">Nieprawidłowości stwierdzono w działalności </w:t>
      </w:r>
      <w:r w:rsidRPr="007139EB">
        <w:rPr>
          <w:rFonts w:eastAsia="Times New Roman"/>
          <w:b/>
        </w:rPr>
        <w:t>2 przedsiębiorców</w:t>
      </w:r>
      <w:r w:rsidRPr="007139EB">
        <w:rPr>
          <w:rFonts w:eastAsia="Times New Roman"/>
        </w:rPr>
        <w:t xml:space="preserve">, w odniesieniu do </w:t>
      </w:r>
      <w:r w:rsidRPr="007139EB">
        <w:rPr>
          <w:rFonts w:eastAsia="Times New Roman"/>
          <w:b/>
        </w:rPr>
        <w:t>12 przypadków</w:t>
      </w:r>
      <w:r w:rsidRPr="007139EB">
        <w:rPr>
          <w:rFonts w:eastAsia="Times New Roman"/>
        </w:rPr>
        <w:t xml:space="preserve">, z czego </w:t>
      </w:r>
      <w:r w:rsidRPr="007139EB">
        <w:rPr>
          <w:rFonts w:eastAsia="Times New Roman"/>
          <w:b/>
        </w:rPr>
        <w:t>11- dotyczyło</w:t>
      </w:r>
      <w:r w:rsidRPr="007139EB">
        <w:rPr>
          <w:rFonts w:eastAsia="Times New Roman"/>
        </w:rPr>
        <w:t xml:space="preserve"> zagrożeń o charakterze konstrukcyjnym (technicznym</w:t>
      </w:r>
      <w:r w:rsidRPr="007139EB">
        <w:rPr>
          <w:rFonts w:eastAsia="Times New Roman"/>
          <w:b/>
        </w:rPr>
        <w:t>), a jedna</w:t>
      </w:r>
      <w:r w:rsidRPr="007139EB">
        <w:rPr>
          <w:rFonts w:eastAsia="Times New Roman"/>
        </w:rPr>
        <w:t xml:space="preserve"> – o znaczeniu formalnym. </w:t>
      </w:r>
      <w:r w:rsidRPr="007139EB">
        <w:rPr>
          <w:rFonts w:eastAsia="Times New Roman"/>
          <w:lang w:eastAsia="zh-CN"/>
        </w:rPr>
        <w:t xml:space="preserve">W trakcie kontroli zakwestionowano m.in.: </w:t>
      </w:r>
      <w:r w:rsidRPr="007139EB">
        <w:rPr>
          <w:rFonts w:eastAsia="Calibri"/>
          <w:lang w:eastAsia="zh-CN"/>
        </w:rPr>
        <w:t xml:space="preserve">uszkodzoną siatkę osłonową w klatce zabawowej,  niekompletne elementy osłaniające (uszkodzona pianka) na metalowych  rurach, przy wejściu do zjeżdżalni rurowej, ubytek pianki i rozdarte poszycie deski znajdującej się pod wejściem do zjeżdżalni rurowej, </w:t>
      </w:r>
      <w:r w:rsidRPr="007139EB">
        <w:rPr>
          <w:rFonts w:eastAsia="Times New Roman"/>
          <w:lang w:eastAsia="zh-CN"/>
        </w:rPr>
        <w:t xml:space="preserve">wystające ostre końcówki plastikowych opasek zaciskowych, służących do zamocowania otuliny piankowej, osłaniającej stalowe rury występujące w całej powierzchni konstrukcji sali zabaw, nieodpowiednio zabezpieczone przed dostępem dzieci  gniazda elektryczne, ubytki pianki na dwóch półwałkach służących do wchodzenia na pochylnię brak prawidłowego zabezpieczenia ostrej krawędzi rogu ściany znajdującej się za siatką przy suchym basenie z piłeczkami, odkryte wystające śruby na progach klatek zabawowych, – w </w:t>
      </w:r>
      <w:r w:rsidRPr="007139EB">
        <w:rPr>
          <w:rFonts w:eastAsia="Times New Roman"/>
          <w:b/>
          <w:lang w:eastAsia="zh-CN"/>
        </w:rPr>
        <w:t>1</w:t>
      </w:r>
      <w:r w:rsidRPr="007139EB">
        <w:rPr>
          <w:rFonts w:eastAsia="Times New Roman"/>
          <w:lang w:eastAsia="zh-CN"/>
        </w:rPr>
        <w:t xml:space="preserve"> sali zabaw. Ponadto w trakcie kontroli stwierdzono </w:t>
      </w:r>
      <w:r w:rsidRPr="007139EB">
        <w:rPr>
          <w:rFonts w:eastAsia="Times New Roman"/>
          <w:bCs/>
          <w:lang w:eastAsia="zh-CN"/>
        </w:rPr>
        <w:t>brak deklaracji zgodności w odniesieniu do wykonanej konstrukcji stalowej sali zabaw, orzeczenie techniczne dotyczące trampoliny z nieaktualnym terminem ważności.</w:t>
      </w:r>
    </w:p>
    <w:p w:rsidR="007139EB" w:rsidRPr="007139EB" w:rsidRDefault="007139EB" w:rsidP="007139EB">
      <w:pPr>
        <w:ind w:firstLine="360"/>
        <w:jc w:val="both"/>
        <w:rPr>
          <w:rFonts w:eastAsia="Times New Roman"/>
        </w:rPr>
      </w:pPr>
    </w:p>
    <w:p w:rsidR="007139EB" w:rsidRPr="007139EB" w:rsidRDefault="007139EB" w:rsidP="007139EB">
      <w:pPr>
        <w:ind w:firstLine="360"/>
        <w:jc w:val="both"/>
        <w:rPr>
          <w:rFonts w:eastAsia="Times New Roman"/>
        </w:rPr>
      </w:pPr>
      <w:r w:rsidRPr="007139EB">
        <w:rPr>
          <w:rFonts w:eastAsia="Times New Roman"/>
        </w:rPr>
        <w:tab/>
        <w:t xml:space="preserve">W ramach realizacji kontroli </w:t>
      </w:r>
      <w:r w:rsidRPr="007139EB">
        <w:rPr>
          <w:rFonts w:eastAsia="Times New Roman"/>
          <w:b/>
        </w:rPr>
        <w:t>usług bytowych</w:t>
      </w:r>
      <w:r w:rsidRPr="007139EB">
        <w:rPr>
          <w:rFonts w:eastAsia="Times New Roman"/>
        </w:rPr>
        <w:t xml:space="preserve">, przeprowadzono </w:t>
      </w:r>
      <w:r w:rsidRPr="007139EB">
        <w:rPr>
          <w:rFonts w:eastAsia="Times New Roman"/>
          <w:b/>
        </w:rPr>
        <w:t>25 kontroli</w:t>
      </w:r>
      <w:r w:rsidRPr="007139EB">
        <w:rPr>
          <w:rFonts w:eastAsia="Times New Roman"/>
        </w:rPr>
        <w:t xml:space="preserve"> placówek: </w:t>
      </w:r>
      <w:r w:rsidRPr="007139EB">
        <w:rPr>
          <w:rFonts w:eastAsia="Times New Roman"/>
          <w:b/>
        </w:rPr>
        <w:t xml:space="preserve"> </w:t>
      </w:r>
      <w:r w:rsidRPr="007139EB">
        <w:rPr>
          <w:rFonts w:eastAsia="Times New Roman"/>
        </w:rPr>
        <w:t xml:space="preserve">fryzjerskich i fryzjersko-kosmetycznych, salonów optycznych, zakładów kamieniarskich, solariów itp.), w ramach których sprawdzano legalność prowadzonej działalności gospodarczej, przestrzeganie przepisów o obowiązku uwidaczniania cen oraz ocenę stanu </w:t>
      </w:r>
      <w:proofErr w:type="spellStart"/>
      <w:r w:rsidRPr="007139EB">
        <w:rPr>
          <w:rFonts w:eastAsia="Times New Roman"/>
        </w:rPr>
        <w:t>sanitarno</w:t>
      </w:r>
      <w:proofErr w:type="spellEnd"/>
      <w:r w:rsidRPr="007139EB">
        <w:rPr>
          <w:rFonts w:eastAsia="Times New Roman"/>
        </w:rPr>
        <w:t xml:space="preserve">–porządkowego pomieszczeń w których świadczone są usługi oraz urządzeń wykorzystywanych przy świadczeniu usług. Nieprawidłowości stwierdzono w </w:t>
      </w:r>
      <w:r w:rsidRPr="007139EB">
        <w:rPr>
          <w:rFonts w:eastAsia="Times New Roman"/>
          <w:b/>
        </w:rPr>
        <w:t>13 placówkach (</w:t>
      </w:r>
      <w:r w:rsidRPr="007139EB">
        <w:rPr>
          <w:rFonts w:eastAsia="Times New Roman"/>
        </w:rPr>
        <w:t xml:space="preserve">52%). W skontrolowanych wyrobach stwierdzano najczęściej naruszenie przepisów o informowaniu o cenach usług, w jednej placówce stwierdzono niewłaściwy stan sanitarny przyborów fryzjerskich. </w:t>
      </w:r>
    </w:p>
    <w:p w:rsidR="007139EB" w:rsidRPr="007139EB" w:rsidRDefault="007139EB" w:rsidP="007139EB">
      <w:pPr>
        <w:ind w:firstLine="360"/>
        <w:jc w:val="both"/>
        <w:rPr>
          <w:rFonts w:eastAsia="Times New Roman"/>
        </w:rPr>
      </w:pPr>
      <w:r w:rsidRPr="007139EB">
        <w:rPr>
          <w:rFonts w:eastAsia="Times New Roman"/>
        </w:rPr>
        <w:t xml:space="preserve"> </w:t>
      </w:r>
      <w:r w:rsidRPr="007139EB">
        <w:rPr>
          <w:rFonts w:eastAsia="Times New Roman"/>
        </w:rPr>
        <w:tab/>
      </w:r>
    </w:p>
    <w:p w:rsidR="007139EB" w:rsidRPr="007139EB" w:rsidRDefault="007139EB" w:rsidP="007139EB">
      <w:pPr>
        <w:ind w:firstLine="708"/>
        <w:jc w:val="both"/>
        <w:rPr>
          <w:rFonts w:eastAsia="Times New Roman"/>
        </w:rPr>
      </w:pPr>
      <w:r w:rsidRPr="007139EB">
        <w:rPr>
          <w:rFonts w:eastAsia="Times New Roman"/>
        </w:rPr>
        <w:t xml:space="preserve">Realizując program kontroli legalności i prawidłowości działania przedsiębiorców świadczących </w:t>
      </w:r>
      <w:r w:rsidRPr="007139EB">
        <w:rPr>
          <w:rFonts w:eastAsia="Times New Roman"/>
          <w:b/>
        </w:rPr>
        <w:t>usługi hotelarskie</w:t>
      </w:r>
      <w:r w:rsidRPr="007139EB">
        <w:rPr>
          <w:rFonts w:eastAsia="Times New Roman"/>
        </w:rPr>
        <w:t xml:space="preserve"> przeprowadzono </w:t>
      </w:r>
      <w:r w:rsidRPr="007139EB">
        <w:rPr>
          <w:rFonts w:eastAsia="Times New Roman"/>
          <w:b/>
        </w:rPr>
        <w:t>3 kontrole</w:t>
      </w:r>
      <w:r w:rsidRPr="007139EB">
        <w:rPr>
          <w:rFonts w:eastAsia="Times New Roman"/>
        </w:rPr>
        <w:t>. Nieprawidłowości stwierdzono we wszystkich placówkach. Polegały one na posługiwaniu się na stronie internetowej obiektu i w materiałach reklamowych nazwą rodzajową zastrzeżoną dla  obiektów spełniających określone wymagania, tj.: „hotel” - bez posiadania ważnej decyzji administracyjnej marszałka województwa, braku w pokojach noclegowych obiektu  katalogów zawierających ceny noclegu, wyżywienia lub innych oferowanych usług</w:t>
      </w:r>
      <w:r w:rsidRPr="007139EB">
        <w:rPr>
          <w:rFonts w:eastAsia="HG Mincho Light J"/>
          <w:szCs w:val="20"/>
        </w:rPr>
        <w:t xml:space="preserve">. </w:t>
      </w:r>
    </w:p>
    <w:p w:rsidR="007139EB" w:rsidRPr="007139EB" w:rsidRDefault="007139EB" w:rsidP="007139EB">
      <w:pPr>
        <w:ind w:firstLine="708"/>
        <w:jc w:val="both"/>
        <w:rPr>
          <w:rFonts w:eastAsia="Times New Roman"/>
        </w:rPr>
      </w:pPr>
    </w:p>
    <w:p w:rsidR="007139EB" w:rsidRPr="007139EB" w:rsidRDefault="007139EB" w:rsidP="007139EB">
      <w:pPr>
        <w:ind w:firstLine="708"/>
        <w:jc w:val="both"/>
        <w:rPr>
          <w:rFonts w:eastAsia="Times New Roman"/>
        </w:rPr>
      </w:pPr>
      <w:r w:rsidRPr="007139EB">
        <w:rPr>
          <w:rFonts w:eastAsia="Times New Roman"/>
          <w:b/>
        </w:rPr>
        <w:t>Rzetelność działalności w zakresie prawidłowości naliczania cen towarów w kasach placówek detalicznych</w:t>
      </w:r>
      <w:r w:rsidRPr="007139EB">
        <w:rPr>
          <w:rFonts w:eastAsia="Times New Roman"/>
        </w:rPr>
        <w:t xml:space="preserve"> sprawdzono w 18 placówkach detalicznych. W trakcie kontroli sprawdzono rzetelność obsługi klientów poprzez dokonywanie zakupów produktów, w ramach których inspektorzy zakupili łącznie </w:t>
      </w:r>
      <w:r w:rsidRPr="007139EB">
        <w:rPr>
          <w:rFonts w:eastAsia="Times New Roman"/>
          <w:b/>
        </w:rPr>
        <w:t xml:space="preserve">111 </w:t>
      </w:r>
      <w:r w:rsidRPr="007139EB">
        <w:rPr>
          <w:rFonts w:eastAsia="Times New Roman"/>
        </w:rPr>
        <w:t xml:space="preserve">artykułów oferowanych do sprzedaży. </w:t>
      </w:r>
      <w:r w:rsidRPr="007139EB">
        <w:rPr>
          <w:rFonts w:eastAsia="Times New Roman"/>
          <w:kern w:val="2"/>
          <w:lang w:eastAsia="ar-SA"/>
        </w:rPr>
        <w:t xml:space="preserve">Nieprawidłowości stwierdzono w </w:t>
      </w:r>
      <w:r w:rsidRPr="007139EB">
        <w:rPr>
          <w:rFonts w:eastAsia="Times New Roman"/>
          <w:b/>
          <w:kern w:val="2"/>
          <w:lang w:eastAsia="ar-SA"/>
        </w:rPr>
        <w:t>1</w:t>
      </w:r>
      <w:r w:rsidRPr="007139EB">
        <w:rPr>
          <w:rFonts w:eastAsia="Times New Roman"/>
          <w:kern w:val="2"/>
          <w:lang w:eastAsia="ar-SA"/>
        </w:rPr>
        <w:t xml:space="preserve"> placówce (</w:t>
      </w:r>
      <w:r w:rsidRPr="007139EB">
        <w:rPr>
          <w:rFonts w:eastAsia="Times New Roman"/>
        </w:rPr>
        <w:t xml:space="preserve">zastosowano cenę niezgodną z ceną uwidocznioną na wywieszce umieszczonej przy wyrobie, zawyżając należność za towar).  </w:t>
      </w:r>
    </w:p>
    <w:p w:rsidR="007139EB" w:rsidRPr="007139EB" w:rsidRDefault="007139EB" w:rsidP="007139EB">
      <w:pPr>
        <w:ind w:left="170"/>
        <w:jc w:val="both"/>
        <w:rPr>
          <w:rFonts w:eastAsia="Times New Roman"/>
        </w:rPr>
      </w:pPr>
    </w:p>
    <w:p w:rsidR="007139EB" w:rsidRPr="007139EB" w:rsidRDefault="007139EB" w:rsidP="007139EB">
      <w:pPr>
        <w:widowControl w:val="0"/>
        <w:adjustRightInd w:val="0"/>
        <w:ind w:firstLine="708"/>
        <w:jc w:val="both"/>
        <w:textAlignment w:val="baseline"/>
        <w:rPr>
          <w:rFonts w:eastAsia="Times New Roman"/>
        </w:rPr>
      </w:pPr>
      <w:r w:rsidRPr="007139EB">
        <w:rPr>
          <w:rFonts w:eastAsia="Times New Roman"/>
          <w:lang w:eastAsia="ar-SA"/>
        </w:rPr>
        <w:t xml:space="preserve">Kontrolę </w:t>
      </w:r>
      <w:r w:rsidRPr="007139EB">
        <w:rPr>
          <w:rFonts w:eastAsia="Times New Roman"/>
          <w:b/>
          <w:lang w:eastAsia="ar-SA"/>
        </w:rPr>
        <w:t>prawidłowości przekazywania przez przedsiębiorców informacji o cenach</w:t>
      </w:r>
      <w:r w:rsidRPr="007139EB">
        <w:rPr>
          <w:rFonts w:eastAsia="Times New Roman"/>
          <w:lang w:eastAsia="ar-SA"/>
        </w:rPr>
        <w:t xml:space="preserve"> towarów i usług prowadzono u </w:t>
      </w:r>
      <w:r w:rsidRPr="007139EB">
        <w:rPr>
          <w:rFonts w:eastAsia="Times New Roman"/>
          <w:b/>
          <w:lang w:eastAsia="ar-SA"/>
        </w:rPr>
        <w:t>31</w:t>
      </w:r>
      <w:r w:rsidRPr="007139EB">
        <w:rPr>
          <w:rFonts w:eastAsia="Times New Roman"/>
          <w:lang w:eastAsia="ar-SA"/>
        </w:rPr>
        <w:t xml:space="preserve"> </w:t>
      </w:r>
      <w:r w:rsidRPr="007139EB">
        <w:rPr>
          <w:rFonts w:eastAsia="Times New Roman"/>
          <w:b/>
          <w:lang w:eastAsia="ar-SA"/>
        </w:rPr>
        <w:t>przedsiębiorców</w:t>
      </w:r>
      <w:r w:rsidRPr="007139EB">
        <w:rPr>
          <w:rFonts w:eastAsia="Times New Roman"/>
          <w:lang w:eastAsia="ar-SA"/>
        </w:rPr>
        <w:t>, obejmując 9 placówek handlu detalicznego (w tym 4 placówki wielkopowierzchniowe)  oraz 22 obiekty hotelarskie.</w:t>
      </w:r>
      <w:r w:rsidRPr="007139EB">
        <w:rPr>
          <w:rFonts w:eastAsia="Times New Roman"/>
        </w:rPr>
        <w:t xml:space="preserve"> Badaniem objęto łącznie </w:t>
      </w:r>
      <w:r w:rsidRPr="007139EB">
        <w:rPr>
          <w:rFonts w:eastAsia="Times New Roman"/>
          <w:b/>
        </w:rPr>
        <w:t>287</w:t>
      </w:r>
      <w:r w:rsidRPr="007139EB">
        <w:rPr>
          <w:rFonts w:eastAsia="Times New Roman"/>
        </w:rPr>
        <w:t xml:space="preserve"> partii towarów oferowanych do sprzedaży detalicznej, zakwestionowano </w:t>
      </w:r>
      <w:r w:rsidRPr="007139EB">
        <w:rPr>
          <w:rFonts w:eastAsia="Times New Roman"/>
          <w:b/>
        </w:rPr>
        <w:t xml:space="preserve">29 </w:t>
      </w:r>
      <w:r w:rsidRPr="007139EB">
        <w:rPr>
          <w:rFonts w:eastAsia="Times New Roman"/>
        </w:rPr>
        <w:t>partii</w:t>
      </w:r>
      <w:r w:rsidRPr="007139EB">
        <w:rPr>
          <w:rFonts w:eastAsia="Times New Roman"/>
          <w:b/>
        </w:rPr>
        <w:t xml:space="preserve">. </w:t>
      </w:r>
      <w:r w:rsidRPr="007139EB">
        <w:rPr>
          <w:rFonts w:eastAsia="Times New Roman"/>
          <w:kern w:val="2"/>
          <w:lang w:eastAsia="ar-SA"/>
        </w:rPr>
        <w:t xml:space="preserve">Nieprawidłowości stwierdzono w </w:t>
      </w:r>
      <w:r w:rsidRPr="007139EB">
        <w:rPr>
          <w:rFonts w:eastAsia="Times New Roman"/>
          <w:b/>
          <w:kern w:val="2"/>
          <w:lang w:eastAsia="ar-SA"/>
        </w:rPr>
        <w:t>14</w:t>
      </w:r>
      <w:r w:rsidRPr="007139EB">
        <w:rPr>
          <w:rFonts w:eastAsia="Times New Roman"/>
          <w:kern w:val="2"/>
          <w:lang w:eastAsia="ar-SA"/>
        </w:rPr>
        <w:t xml:space="preserve"> placówkach.</w:t>
      </w:r>
      <w:r w:rsidRPr="007139EB">
        <w:rPr>
          <w:rFonts w:eastAsia="Times New Roman"/>
          <w:b/>
        </w:rPr>
        <w:t xml:space="preserve"> </w:t>
      </w:r>
      <w:r w:rsidRPr="007139EB">
        <w:rPr>
          <w:rFonts w:eastAsia="Times New Roman"/>
          <w:szCs w:val="20"/>
          <w:lang w:eastAsia="ar-SA"/>
        </w:rPr>
        <w:t>Polegały one na:</w:t>
      </w:r>
      <w:r w:rsidRPr="007139EB">
        <w:rPr>
          <w:rFonts w:eastAsia="Times New Roman"/>
          <w:b/>
        </w:rPr>
        <w:t xml:space="preserve"> </w:t>
      </w:r>
      <w:r w:rsidRPr="007139EB">
        <w:rPr>
          <w:rFonts w:eastAsia="Times New Roman"/>
        </w:rPr>
        <w:t>braku cen i cen jednostkowych towarów,</w:t>
      </w:r>
      <w:r w:rsidRPr="007139EB">
        <w:rPr>
          <w:rFonts w:eastAsia="Times New Roman"/>
          <w:b/>
        </w:rPr>
        <w:t xml:space="preserve"> </w:t>
      </w:r>
      <w:r w:rsidRPr="007139EB">
        <w:rPr>
          <w:rFonts w:eastAsia="Times New Roman"/>
        </w:rPr>
        <w:t xml:space="preserve">zastosowaniu ceny niezgodnej z ceną </w:t>
      </w:r>
      <w:r w:rsidRPr="007139EB">
        <w:rPr>
          <w:rFonts w:eastAsia="Times New Roman"/>
        </w:rPr>
        <w:lastRenderedPageBreak/>
        <w:t xml:space="preserve">uwidocznioną na wywieszce umieszczonej przy wyrobie, braku katalogów zawierających ceny noclegów i wyżywienia, </w:t>
      </w:r>
      <w:r w:rsidRPr="007139EB">
        <w:rPr>
          <w:rFonts w:eastAsia="Times New Roman"/>
          <w:szCs w:val="20"/>
          <w:lang w:eastAsia="ar-SA"/>
        </w:rPr>
        <w:t>braku określenia ilości potraw lub wyrobów w menu restauracyjnych, braku cenników rozmów telefonicznych w hotelach,</w:t>
      </w:r>
      <w:r w:rsidRPr="007139EB">
        <w:rPr>
          <w:rFonts w:eastAsia="Times New Roman"/>
        </w:rPr>
        <w:t xml:space="preserve"> –</w:t>
      </w:r>
      <w:r w:rsidRPr="007139EB">
        <w:rPr>
          <w:rFonts w:eastAsia="Times New Roman"/>
          <w:szCs w:val="20"/>
          <w:lang w:eastAsia="ar-SA"/>
        </w:rPr>
        <w:t xml:space="preserve"> prowadzaniu działalności gospodarczej niezgodnie  z wpisem zgłoszonym do CEIDG, </w:t>
      </w:r>
      <w:r w:rsidRPr="007139EB">
        <w:rPr>
          <w:rFonts w:eastAsia="Times New Roman"/>
        </w:rPr>
        <w:t xml:space="preserve"> posługiwaniu się przyrządem pomiarowym z nieaktualną pierwotną cechą legalizacji.</w:t>
      </w:r>
    </w:p>
    <w:p w:rsidR="0066594D" w:rsidRPr="007139EB" w:rsidRDefault="0066594D" w:rsidP="0066594D">
      <w:pPr>
        <w:ind w:firstLine="708"/>
        <w:jc w:val="both"/>
        <w:rPr>
          <w:rFonts w:eastAsia="Times New Roman"/>
        </w:rPr>
      </w:pPr>
    </w:p>
    <w:p w:rsidR="004E2D41" w:rsidRDefault="004E2D41" w:rsidP="0066594D">
      <w:pPr>
        <w:tabs>
          <w:tab w:val="num" w:pos="709"/>
        </w:tabs>
        <w:jc w:val="both"/>
        <w:rPr>
          <w:rFonts w:eastAsia="Times New Roman"/>
          <w:sz w:val="22"/>
          <w:szCs w:val="22"/>
        </w:rPr>
      </w:pPr>
    </w:p>
    <w:p w:rsidR="006E4E95" w:rsidRPr="007139EB" w:rsidRDefault="004E2D41" w:rsidP="004670DB">
      <w:pPr>
        <w:widowControl w:val="0"/>
        <w:numPr>
          <w:ilvl w:val="1"/>
          <w:numId w:val="6"/>
        </w:numPr>
        <w:tabs>
          <w:tab w:val="clear" w:pos="1440"/>
          <w:tab w:val="num" w:pos="426"/>
        </w:tabs>
        <w:autoSpaceDE w:val="0"/>
        <w:autoSpaceDN w:val="0"/>
        <w:adjustRightInd w:val="0"/>
        <w:ind w:left="426" w:hanging="426"/>
        <w:jc w:val="both"/>
        <w:rPr>
          <w:rFonts w:eastAsia="Times New Roman"/>
          <w:b/>
        </w:rPr>
      </w:pPr>
      <w:r w:rsidRPr="007139EB">
        <w:rPr>
          <w:rFonts w:eastAsia="Times New Roman"/>
          <w:b/>
        </w:rPr>
        <w:t xml:space="preserve">Artykuły </w:t>
      </w:r>
      <w:r w:rsidR="006E4E95" w:rsidRPr="007139EB">
        <w:rPr>
          <w:rFonts w:eastAsia="Times New Roman"/>
          <w:b/>
        </w:rPr>
        <w:t>żywnościowe</w:t>
      </w:r>
    </w:p>
    <w:p w:rsidR="006E4E95" w:rsidRPr="007139EB" w:rsidRDefault="006E4E95" w:rsidP="006E4E95">
      <w:pPr>
        <w:widowControl w:val="0"/>
        <w:autoSpaceDE w:val="0"/>
        <w:autoSpaceDN w:val="0"/>
        <w:adjustRightInd w:val="0"/>
        <w:jc w:val="both"/>
        <w:rPr>
          <w:rFonts w:eastAsia="Times New Roman"/>
          <w:b/>
        </w:rPr>
      </w:pPr>
    </w:p>
    <w:p w:rsidR="003F0889" w:rsidRPr="007139EB" w:rsidRDefault="003F0889" w:rsidP="003F0889">
      <w:pPr>
        <w:ind w:firstLine="708"/>
        <w:jc w:val="both"/>
        <w:rPr>
          <w:rFonts w:eastAsia="Times New Roman"/>
        </w:rPr>
      </w:pPr>
      <w:r w:rsidRPr="007139EB">
        <w:rPr>
          <w:rFonts w:eastAsia="Times New Roman"/>
        </w:rPr>
        <w:t>W 2016 r. w zakresie kontroli artykułów żywnościowych przeprowadzono 792 kontrole. Analizie poddano 10201 produktów spożywczych, zakwestionowano 1106 partii, co stanowi 11% zbadanych.</w:t>
      </w:r>
    </w:p>
    <w:p w:rsidR="003F0889" w:rsidRPr="007139EB" w:rsidRDefault="003F0889" w:rsidP="003F0889">
      <w:pPr>
        <w:widowControl w:val="0"/>
        <w:autoSpaceDE w:val="0"/>
        <w:autoSpaceDN w:val="0"/>
        <w:adjustRightInd w:val="0"/>
        <w:ind w:firstLine="709"/>
        <w:jc w:val="both"/>
        <w:rPr>
          <w:rFonts w:eastAsia="Times New Roman"/>
        </w:rPr>
      </w:pPr>
    </w:p>
    <w:p w:rsidR="003F0889" w:rsidRPr="007139EB" w:rsidRDefault="003F0889" w:rsidP="003F0889">
      <w:pPr>
        <w:widowControl w:val="0"/>
        <w:autoSpaceDE w:val="0"/>
        <w:autoSpaceDN w:val="0"/>
        <w:adjustRightInd w:val="0"/>
        <w:jc w:val="both"/>
        <w:rPr>
          <w:rFonts w:eastAsia="Times New Roman"/>
        </w:rPr>
      </w:pPr>
      <w:r w:rsidRPr="007139EB">
        <w:rPr>
          <w:rFonts w:eastAsia="Times New Roman"/>
        </w:rPr>
        <w:t>Kontrole ukierunkowane były na:</w:t>
      </w:r>
    </w:p>
    <w:p w:rsidR="003F0889" w:rsidRPr="007139EB" w:rsidRDefault="003F0889" w:rsidP="003F0889">
      <w:pPr>
        <w:widowControl w:val="0"/>
        <w:autoSpaceDE w:val="0"/>
        <w:autoSpaceDN w:val="0"/>
        <w:adjustRightInd w:val="0"/>
        <w:jc w:val="both"/>
        <w:rPr>
          <w:rFonts w:eastAsia="Times New Roman"/>
        </w:rPr>
      </w:pP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sprawdzenie przestrzegania przepisów krajowych i unijnych w zakresie jakości handlowej i prawidłowości oznakowania produktów oraz uregulowań prawnych dotyczących obrotu artykułami spożywczymi,</w:t>
      </w: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ujawnienie nieuczciwych praktyk związanych z zafałszowaniem produktów, stosowaniem nazewnictwa wprowadzającego konsumenta w błąd co do tożsamości wyrobów oraz nieuczciwego wykorzystania zarejestrowanych nazw chronionych,</w:t>
      </w: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sprawdzenie legalności i rzetelności działania przedsiębiorców.</w:t>
      </w:r>
    </w:p>
    <w:p w:rsidR="003F0889" w:rsidRPr="007139EB" w:rsidRDefault="003F0889" w:rsidP="003F0889">
      <w:pPr>
        <w:ind w:left="426"/>
        <w:jc w:val="both"/>
      </w:pPr>
    </w:p>
    <w:p w:rsidR="003F0889" w:rsidRPr="007139EB" w:rsidRDefault="003F0889" w:rsidP="003F0889">
      <w:pPr>
        <w:jc w:val="both"/>
      </w:pPr>
      <w:r w:rsidRPr="007139EB">
        <w:t>Nieprawidłowości dotyczyły następujących grup produktów:</w:t>
      </w:r>
    </w:p>
    <w:p w:rsidR="003F0889" w:rsidRPr="007139EB" w:rsidRDefault="003F0889" w:rsidP="003F0889">
      <w:pPr>
        <w:tabs>
          <w:tab w:val="left" w:pos="500"/>
        </w:tabs>
        <w:ind w:left="510"/>
        <w:jc w:val="both"/>
        <w:rPr>
          <w:rFonts w:eastAsia="Times New Roman"/>
          <w:b/>
        </w:rPr>
      </w:pPr>
    </w:p>
    <w:p w:rsidR="003F0889" w:rsidRDefault="003F0889" w:rsidP="003F0889">
      <w:pPr>
        <w:numPr>
          <w:ilvl w:val="0"/>
          <w:numId w:val="22"/>
        </w:numPr>
        <w:tabs>
          <w:tab w:val="clear" w:pos="510"/>
          <w:tab w:val="left" w:pos="500"/>
        </w:tabs>
        <w:jc w:val="both"/>
      </w:pPr>
      <w:r w:rsidRPr="007139EB">
        <w:rPr>
          <w:rFonts w:eastAsia="Times New Roman"/>
          <w:b/>
        </w:rPr>
        <w:t>produkty rolnictwa ekologicznego</w:t>
      </w:r>
      <w:r w:rsidRPr="007139EB">
        <w:rPr>
          <w:rFonts w:eastAsia="Times New Roman"/>
        </w:rPr>
        <w:t xml:space="preserve"> – zbadano 31 partii, zakwestionowano 5 z uwagi na niewłaściwe oznakowanie</w:t>
      </w:r>
      <w:r>
        <w:rPr>
          <w:rFonts w:eastAsia="Times New Roman"/>
        </w:rPr>
        <w:t xml:space="preserve"> (</w:t>
      </w:r>
      <w:r w:rsidRPr="008C20AF">
        <w:t>oznaczenie miejsca</w:t>
      </w:r>
      <w:r>
        <w:t xml:space="preserve"> produkcji</w:t>
      </w:r>
      <w:r w:rsidRPr="008C20AF">
        <w:t xml:space="preserve"> nie przetworzon</w:t>
      </w:r>
      <w:r>
        <w:t>ych</w:t>
      </w:r>
      <w:r w:rsidRPr="008C20AF">
        <w:t xml:space="preserve"> produkt</w:t>
      </w:r>
      <w:r>
        <w:t>ów</w:t>
      </w:r>
      <w:r w:rsidRPr="008C20AF">
        <w:t xml:space="preserve"> rolnicz</w:t>
      </w:r>
      <w:r>
        <w:t>ych</w:t>
      </w:r>
      <w:r w:rsidRPr="008C20AF">
        <w:t xml:space="preserve">, z których wytworzono końcowy produkt tylko </w:t>
      </w:r>
      <w:r>
        <w:br/>
      </w:r>
      <w:r w:rsidRPr="008C20AF">
        <w:t xml:space="preserve">w języku </w:t>
      </w:r>
      <w:r>
        <w:t xml:space="preserve">obcym, </w:t>
      </w:r>
      <w:r w:rsidRPr="008C20AF">
        <w:t>podanie oświadczenia żywieniowego bez określenia ilości składników odżywczych,</w:t>
      </w:r>
      <w:r>
        <w:t xml:space="preserve"> </w:t>
      </w:r>
      <w:r w:rsidRPr="008C20AF">
        <w:t>niewłaściwe określenie słowne przed datą minimalnej trwałości, zamieszczenie informacji o treści „Produkt może zawierać śladowe ilości…”</w:t>
      </w:r>
      <w:r>
        <w:t>),</w:t>
      </w:r>
    </w:p>
    <w:p w:rsidR="003F0889" w:rsidRPr="007139EB" w:rsidRDefault="003F0889" w:rsidP="003F0889">
      <w:pPr>
        <w:jc w:val="both"/>
        <w:rPr>
          <w:rFonts w:eastAsia="Times New Roman"/>
        </w:rPr>
      </w:pPr>
    </w:p>
    <w:p w:rsidR="003F0889" w:rsidRPr="007139EB" w:rsidRDefault="003F0889" w:rsidP="003F0889">
      <w:pPr>
        <w:numPr>
          <w:ilvl w:val="0"/>
          <w:numId w:val="22"/>
        </w:numPr>
        <w:tabs>
          <w:tab w:val="clear" w:pos="510"/>
          <w:tab w:val="left" w:pos="500"/>
        </w:tabs>
        <w:jc w:val="both"/>
        <w:rPr>
          <w:rFonts w:eastAsia="Times New Roman"/>
          <w:b/>
        </w:rPr>
      </w:pPr>
      <w:r w:rsidRPr="007139EB">
        <w:rPr>
          <w:rFonts w:eastAsia="Times New Roman"/>
          <w:b/>
        </w:rPr>
        <w:t xml:space="preserve">przetwory zbożowe </w:t>
      </w:r>
      <w:r w:rsidRPr="007139EB">
        <w:rPr>
          <w:rFonts w:eastAsia="Times New Roman"/>
        </w:rPr>
        <w:t>- zbadano 361 partii, zakwestionowano 28 partii z uwagi na:</w:t>
      </w:r>
    </w:p>
    <w:p w:rsidR="003F0889" w:rsidRPr="007139EB" w:rsidRDefault="003F0889" w:rsidP="003F0889">
      <w:pPr>
        <w:tabs>
          <w:tab w:val="left" w:pos="500"/>
        </w:tabs>
        <w:ind w:left="510"/>
        <w:jc w:val="both"/>
        <w:rPr>
          <w:rFonts w:eastAsia="Times New Roman"/>
        </w:rPr>
      </w:pPr>
      <w:r w:rsidRPr="007139EB">
        <w:rPr>
          <w:rFonts w:eastAsia="Times New Roman"/>
        </w:rPr>
        <w:t>- przekroczone terminy ważności,</w:t>
      </w:r>
    </w:p>
    <w:p w:rsidR="003F0889" w:rsidRPr="007139EB" w:rsidRDefault="003F0889" w:rsidP="003F0889">
      <w:pPr>
        <w:tabs>
          <w:tab w:val="left" w:pos="500"/>
        </w:tabs>
        <w:ind w:left="510"/>
        <w:jc w:val="both"/>
        <w:rPr>
          <w:rFonts w:eastAsia="Times New Roman"/>
        </w:rPr>
      </w:pPr>
      <w:r w:rsidRPr="007139EB">
        <w:rPr>
          <w:rFonts w:eastAsia="Times New Roman"/>
        </w:rPr>
        <w:t>- nieprawidłowe oznakowanie</w:t>
      </w:r>
      <w:r>
        <w:rPr>
          <w:rFonts w:eastAsia="Times New Roman"/>
        </w:rPr>
        <w:t xml:space="preserve"> (</w:t>
      </w:r>
      <w:r w:rsidRPr="009F306B">
        <w:rPr>
          <w:lang w:bidi="pl-PL"/>
        </w:rPr>
        <w:t>brak nazwy i adresu zakładu produkcyjnego</w:t>
      </w:r>
      <w:r>
        <w:rPr>
          <w:lang w:bidi="pl-PL"/>
        </w:rPr>
        <w:t>)</w:t>
      </w:r>
      <w:r w:rsidRPr="007139EB">
        <w:rPr>
          <w:rFonts w:eastAsia="Times New Roman"/>
        </w:rPr>
        <w:t>,</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tabs>
          <w:tab w:val="clear" w:pos="510"/>
          <w:tab w:val="left" w:pos="500"/>
        </w:tabs>
        <w:jc w:val="both"/>
        <w:rPr>
          <w:rFonts w:eastAsia="Times New Roman"/>
          <w:b/>
        </w:rPr>
      </w:pPr>
      <w:r w:rsidRPr="007139EB">
        <w:rPr>
          <w:rFonts w:eastAsia="Times New Roman"/>
          <w:b/>
        </w:rPr>
        <w:t xml:space="preserve">pieczywo i wyroby piekarskie </w:t>
      </w:r>
      <w:r w:rsidRPr="007139EB">
        <w:rPr>
          <w:rFonts w:eastAsia="Times New Roman"/>
        </w:rPr>
        <w:t>- zbadano 313 partii, zakwestionowano 93 asortymenty</w:t>
      </w:r>
      <w:r>
        <w:rPr>
          <w:rFonts w:eastAsia="Times New Roman"/>
        </w:rPr>
        <w:t xml:space="preserve"> </w:t>
      </w:r>
      <w:r w:rsidRPr="007139EB">
        <w:rPr>
          <w:rFonts w:eastAsia="Times New Roman"/>
        </w:rPr>
        <w:t>z uwagi na:</w:t>
      </w:r>
    </w:p>
    <w:p w:rsidR="003F0889" w:rsidRDefault="003F0889" w:rsidP="003F0889">
      <w:pPr>
        <w:tabs>
          <w:tab w:val="left" w:pos="500"/>
        </w:tabs>
        <w:ind w:left="510"/>
        <w:jc w:val="both"/>
        <w:rPr>
          <w:rFonts w:eastAsia="Times New Roman"/>
        </w:rPr>
      </w:pPr>
      <w:r w:rsidRPr="007139EB">
        <w:rPr>
          <w:rFonts w:eastAsia="Times New Roman"/>
        </w:rPr>
        <w:t>- przekroczone terminy ważności,</w:t>
      </w:r>
    </w:p>
    <w:p w:rsidR="003F0889" w:rsidRPr="007139EB" w:rsidRDefault="003F0889" w:rsidP="003F0889">
      <w:pPr>
        <w:tabs>
          <w:tab w:val="left" w:pos="500"/>
        </w:tabs>
        <w:ind w:left="510"/>
        <w:jc w:val="both"/>
        <w:rPr>
          <w:rFonts w:eastAsia="Times New Roman"/>
        </w:rPr>
      </w:pPr>
      <w:r>
        <w:rPr>
          <w:rFonts w:eastAsia="Times New Roman"/>
        </w:rPr>
        <w:t xml:space="preserve">- </w:t>
      </w:r>
      <w:r w:rsidRPr="007139EB">
        <w:rPr>
          <w:rFonts w:eastAsia="Times New Roman"/>
        </w:rPr>
        <w:t>oznakowanie niezgodne z przepisami</w:t>
      </w:r>
      <w:r>
        <w:rPr>
          <w:rFonts w:eastAsia="Times New Roman"/>
        </w:rPr>
        <w:t xml:space="preserve"> (</w:t>
      </w:r>
      <w:r>
        <w:rPr>
          <w:lang w:bidi="pl-PL"/>
        </w:rPr>
        <w:t xml:space="preserve">wykaz składników poprzedzony </w:t>
      </w:r>
      <w:r w:rsidRPr="009F306B">
        <w:rPr>
          <w:lang w:bidi="pl-PL"/>
        </w:rPr>
        <w:t>niewłaściwym nagłówkiem</w:t>
      </w:r>
      <w:r>
        <w:rPr>
          <w:rFonts w:eastAsia="Times New Roman"/>
        </w:rPr>
        <w:t xml:space="preserve">, </w:t>
      </w:r>
      <w:r w:rsidRPr="009F306B">
        <w:t>brak podkreślenia alergenów,</w:t>
      </w:r>
      <w:r>
        <w:rPr>
          <w:rFonts w:eastAsia="Times New Roman"/>
        </w:rPr>
        <w:t xml:space="preserve"> </w:t>
      </w:r>
      <w:r w:rsidRPr="009F306B">
        <w:t>brak oznaczenia producenta oraz wykazu składników, w tym substancji alergennych</w:t>
      </w:r>
      <w:r>
        <w:rPr>
          <w:rFonts w:eastAsia="Times New Roman"/>
        </w:rPr>
        <w:t xml:space="preserve">, </w:t>
      </w:r>
      <w:r w:rsidRPr="008C20AF">
        <w:rPr>
          <w:lang w:bidi="pl-PL"/>
        </w:rPr>
        <w:t xml:space="preserve">podanie </w:t>
      </w:r>
      <w:r>
        <w:rPr>
          <w:lang w:bidi="pl-PL"/>
        </w:rPr>
        <w:t>nie</w:t>
      </w:r>
      <w:r w:rsidRPr="008C20AF">
        <w:rPr>
          <w:lang w:bidi="pl-PL"/>
        </w:rPr>
        <w:t>prawidł</w:t>
      </w:r>
      <w:r>
        <w:rPr>
          <w:lang w:bidi="pl-PL"/>
        </w:rPr>
        <w:t>owej nazwy)</w:t>
      </w:r>
      <w:r w:rsidRPr="007139EB">
        <w:rPr>
          <w:rFonts w:eastAsia="Times New Roman"/>
        </w:rPr>
        <w:t>,</w:t>
      </w:r>
    </w:p>
    <w:p w:rsidR="003F0889" w:rsidRPr="007139EB" w:rsidRDefault="003F0889" w:rsidP="003F0889">
      <w:pPr>
        <w:tabs>
          <w:tab w:val="left" w:pos="500"/>
        </w:tabs>
        <w:ind w:left="510"/>
        <w:jc w:val="both"/>
        <w:rPr>
          <w:rFonts w:eastAsia="Times New Roman"/>
          <w:b/>
        </w:rPr>
      </w:pPr>
    </w:p>
    <w:p w:rsidR="003F0889" w:rsidRPr="007139EB" w:rsidRDefault="003F0889" w:rsidP="003F0889">
      <w:pPr>
        <w:numPr>
          <w:ilvl w:val="0"/>
          <w:numId w:val="22"/>
        </w:numPr>
        <w:jc w:val="both"/>
        <w:rPr>
          <w:rFonts w:eastAsia="Times New Roman"/>
        </w:rPr>
      </w:pPr>
      <w:r w:rsidRPr="007139EB">
        <w:rPr>
          <w:rFonts w:eastAsia="Times New Roman"/>
          <w:b/>
        </w:rPr>
        <w:t xml:space="preserve">mleko i przetwory mleczne </w:t>
      </w:r>
      <w:r w:rsidRPr="007139EB">
        <w:rPr>
          <w:rFonts w:eastAsia="Times New Roman"/>
        </w:rPr>
        <w:t>- zbadano 1282 partie, zakwestionowano 69 partii produktów. Nieprawidłowości dotyczyły:</w:t>
      </w:r>
    </w:p>
    <w:p w:rsidR="003F0889" w:rsidRPr="007139EB" w:rsidRDefault="003F0889" w:rsidP="003F0889">
      <w:pPr>
        <w:ind w:left="510"/>
        <w:jc w:val="both"/>
        <w:rPr>
          <w:rFonts w:eastAsia="Times New Roman"/>
        </w:rPr>
      </w:pPr>
      <w:r w:rsidRPr="007139EB">
        <w:rPr>
          <w:rFonts w:eastAsia="Times New Roman"/>
        </w:rPr>
        <w:t xml:space="preserve">- niewłaściwej jakości twarogu </w:t>
      </w:r>
      <w:r w:rsidRPr="007139EB">
        <w:rPr>
          <w:rFonts w:eastAsia="Times New Roman"/>
          <w:szCs w:val="20"/>
          <w:lang w:eastAsia="ar-SA"/>
        </w:rPr>
        <w:t>(</w:t>
      </w:r>
      <w:r w:rsidRPr="007139EB">
        <w:rPr>
          <w:rFonts w:eastAsia="Times New Roman"/>
        </w:rPr>
        <w:t xml:space="preserve">wyższa zawartość </w:t>
      </w:r>
      <w:r w:rsidRPr="007139EB">
        <w:rPr>
          <w:rFonts w:eastAsia="Times New Roman"/>
          <w:szCs w:val="20"/>
          <w:lang w:eastAsia="ar-SA"/>
        </w:rPr>
        <w:t>tłuszczu</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uchybień w oznakowaniu</w:t>
      </w:r>
      <w:r>
        <w:rPr>
          <w:rFonts w:eastAsia="Times New Roman"/>
        </w:rPr>
        <w:t xml:space="preserve"> (</w:t>
      </w:r>
      <w:r w:rsidRPr="008C20AF">
        <w:rPr>
          <w:lang w:bidi="pl-PL"/>
        </w:rPr>
        <w:t>wykaz składników poprzedzony niewłaściwym nagłówkiem</w:t>
      </w:r>
      <w:r>
        <w:rPr>
          <w:lang w:bidi="pl-PL"/>
        </w:rPr>
        <w:t>)</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przekroczonych terminów przydatności do spożycia lub dat minimalnej trwałości,</w:t>
      </w:r>
    </w:p>
    <w:p w:rsidR="003F0889" w:rsidRPr="007139EB" w:rsidRDefault="003F0889" w:rsidP="003F0889">
      <w:pPr>
        <w:tabs>
          <w:tab w:val="left" w:pos="500"/>
        </w:tabs>
        <w:jc w:val="both"/>
        <w:rPr>
          <w:rFonts w:eastAsia="Times New Roman"/>
          <w:szCs w:val="20"/>
          <w:lang w:eastAsia="ar-SA"/>
        </w:rPr>
      </w:pPr>
    </w:p>
    <w:p w:rsidR="003F0889" w:rsidRPr="007139EB" w:rsidRDefault="003F0889" w:rsidP="003F0889">
      <w:pPr>
        <w:numPr>
          <w:ilvl w:val="0"/>
          <w:numId w:val="22"/>
        </w:numPr>
        <w:jc w:val="both"/>
        <w:rPr>
          <w:rFonts w:eastAsia="Times New Roman"/>
        </w:rPr>
      </w:pPr>
      <w:r w:rsidRPr="007139EB">
        <w:rPr>
          <w:rFonts w:eastAsia="Times New Roman"/>
          <w:b/>
        </w:rPr>
        <w:lastRenderedPageBreak/>
        <w:t xml:space="preserve">mięso i przetwory mięsne </w:t>
      </w:r>
      <w:r w:rsidR="00C4624E">
        <w:rPr>
          <w:rFonts w:eastAsia="Times New Roman"/>
        </w:rPr>
        <w:t>- zbadano 1208 partii</w:t>
      </w:r>
      <w:r w:rsidRPr="007139EB">
        <w:rPr>
          <w:rFonts w:eastAsia="Times New Roman"/>
        </w:rPr>
        <w:t>, zakwestionowano 186 partii. Nieprawidłowości dotyczyły:</w:t>
      </w:r>
    </w:p>
    <w:p w:rsidR="003F0889" w:rsidRPr="00E25580" w:rsidRDefault="003F0889" w:rsidP="003F0889">
      <w:pPr>
        <w:ind w:left="510"/>
        <w:jc w:val="both"/>
      </w:pPr>
      <w:r w:rsidRPr="007139EB">
        <w:rPr>
          <w:rFonts w:eastAsia="Times New Roman"/>
        </w:rPr>
        <w:t xml:space="preserve">- oznakowania niezgodnego z przepisami </w:t>
      </w:r>
      <w:r>
        <w:rPr>
          <w:rFonts w:eastAsia="Times New Roman"/>
        </w:rPr>
        <w:t>(</w:t>
      </w:r>
      <w:r w:rsidRPr="008C20AF">
        <w:t xml:space="preserve">brak w nazwie </w:t>
      </w:r>
      <w:r>
        <w:t>kiełbasy</w:t>
      </w:r>
      <w:r w:rsidRPr="008C20AF">
        <w:t xml:space="preserve"> określenia „surowa”,</w:t>
      </w:r>
      <w:r>
        <w:t xml:space="preserve"> </w:t>
      </w:r>
      <w:r w:rsidRPr="008C20AF">
        <w:t>brak oznaczenia producenta oraz wykazu składników, w tym substancji alergennych,</w:t>
      </w:r>
      <w:r>
        <w:t xml:space="preserve"> </w:t>
      </w:r>
      <w:r w:rsidRPr="008C20AF">
        <w:t>wprowadzenie w błąd klienta co do miejsca pochodzenia produktów,</w:t>
      </w:r>
      <w:r>
        <w:t xml:space="preserve"> </w:t>
      </w:r>
      <w:r w:rsidRPr="008C20AF">
        <w:t>brak na opakowaniu jednostkowym sformułowania „bezglutenowy”</w:t>
      </w:r>
      <w:r w:rsidRPr="008C20AF">
        <w:rPr>
          <w:lang w:bidi="pl-PL"/>
        </w:rPr>
        <w:t>,</w:t>
      </w:r>
      <w:r>
        <w:t xml:space="preserve"> </w:t>
      </w:r>
      <w:r w:rsidRPr="008C20AF">
        <w:t>niewłaściwe określenie słowne przed terminem przydatności do spożycia,</w:t>
      </w:r>
      <w:r>
        <w:t xml:space="preserve"> </w:t>
      </w:r>
      <w:r w:rsidRPr="008C20AF">
        <w:rPr>
          <w:lang w:bidi="pl-PL"/>
        </w:rPr>
        <w:t>brak danych identyfikujących producenta</w:t>
      </w:r>
      <w:r w:rsidRPr="008C20AF">
        <w:t>,</w:t>
      </w:r>
      <w:r>
        <w:t xml:space="preserve"> </w:t>
      </w:r>
      <w:r w:rsidRPr="008C20AF">
        <w:t>brak na etykiecie kraju pochodzenia bądź miejsca chowu lub uboju,</w:t>
      </w:r>
      <w:r>
        <w:t xml:space="preserve"> </w:t>
      </w:r>
      <w:r w:rsidRPr="008C20AF">
        <w:rPr>
          <w:lang w:bidi="pl-PL"/>
        </w:rPr>
        <w:t xml:space="preserve">podanie </w:t>
      </w:r>
      <w:r>
        <w:rPr>
          <w:lang w:bidi="pl-PL"/>
        </w:rPr>
        <w:t>nie</w:t>
      </w:r>
      <w:r w:rsidRPr="008C20AF">
        <w:rPr>
          <w:lang w:bidi="pl-PL"/>
        </w:rPr>
        <w:t>prawidłowej nazwy wymaganej przepisami</w:t>
      </w:r>
      <w:r>
        <w:rPr>
          <w:lang w:bidi="pl-PL"/>
        </w:rPr>
        <w:t xml:space="preserve">  oraz </w:t>
      </w:r>
      <w:r w:rsidRPr="008C20AF">
        <w:rPr>
          <w:lang w:bidi="pl-PL"/>
        </w:rPr>
        <w:t>danych identyfikujących podmiot</w:t>
      </w:r>
      <w:r>
        <w:rPr>
          <w:lang w:bidi="pl-PL"/>
        </w:rPr>
        <w:t xml:space="preserve"> wprowadzający produkt na rynek)</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przekroczonych terminów przydatności do spożycia lub dat minimalnej trwałości,</w:t>
      </w:r>
    </w:p>
    <w:p w:rsidR="003F0889" w:rsidRPr="007139EB" w:rsidRDefault="003F0889" w:rsidP="003F0889">
      <w:pPr>
        <w:ind w:left="510"/>
        <w:jc w:val="both"/>
        <w:rPr>
          <w:rFonts w:eastAsia="Times New Roman"/>
        </w:rPr>
      </w:pPr>
      <w:r w:rsidRPr="007139EB">
        <w:rPr>
          <w:rFonts w:eastAsia="Times New Roman"/>
        </w:rPr>
        <w:t>- niewłaściwej jakości wędlin (niższa zawartość tłuszczów i kwasów tłuszczowych nasyconych oraz niższa masa netto),</w:t>
      </w:r>
    </w:p>
    <w:p w:rsidR="003F0889" w:rsidRPr="007139EB" w:rsidRDefault="003F0889" w:rsidP="003F0889">
      <w:pPr>
        <w:tabs>
          <w:tab w:val="left" w:pos="500"/>
        </w:tabs>
        <w:jc w:val="both"/>
        <w:rPr>
          <w:rFonts w:eastAsia="Times New Roman"/>
          <w:szCs w:val="20"/>
          <w:lang w:eastAsia="ar-SA"/>
        </w:rPr>
      </w:pPr>
    </w:p>
    <w:p w:rsidR="003F0889" w:rsidRPr="007139EB" w:rsidRDefault="003F0889" w:rsidP="003F0889">
      <w:pPr>
        <w:numPr>
          <w:ilvl w:val="0"/>
          <w:numId w:val="22"/>
        </w:numPr>
        <w:jc w:val="both"/>
        <w:rPr>
          <w:rFonts w:eastAsia="Times New Roman"/>
        </w:rPr>
      </w:pPr>
      <w:r w:rsidRPr="007139EB">
        <w:rPr>
          <w:rFonts w:eastAsia="Times New Roman"/>
          <w:b/>
        </w:rPr>
        <w:t xml:space="preserve">drób i przetwory drobiowe </w:t>
      </w:r>
      <w:r w:rsidRPr="007139EB">
        <w:rPr>
          <w:rFonts w:eastAsia="Times New Roman"/>
        </w:rPr>
        <w:t>- zbadano 115 partii, zakwestionowano 13 asortymentów. Uchybienia dotyczyły:</w:t>
      </w:r>
    </w:p>
    <w:p w:rsidR="003F0889" w:rsidRPr="00E25580" w:rsidRDefault="003F0889" w:rsidP="003F0889">
      <w:pPr>
        <w:ind w:left="510"/>
        <w:jc w:val="both"/>
      </w:pPr>
      <w:r w:rsidRPr="007139EB">
        <w:rPr>
          <w:rFonts w:eastAsia="Times New Roman"/>
        </w:rPr>
        <w:t>- nieprawidłowości w oznakowaniu</w:t>
      </w:r>
      <w:r>
        <w:rPr>
          <w:rFonts w:eastAsia="Times New Roman"/>
        </w:rPr>
        <w:t xml:space="preserve"> (</w:t>
      </w:r>
      <w:r w:rsidRPr="003B2792">
        <w:rPr>
          <w:lang w:bidi="pl-PL"/>
        </w:rPr>
        <w:t>brak klasy jakości</w:t>
      </w:r>
      <w:r>
        <w:t xml:space="preserve"> oraz </w:t>
      </w:r>
      <w:r w:rsidRPr="003B2792">
        <w:t xml:space="preserve">wykazu składników </w:t>
      </w:r>
      <w:r w:rsidRPr="003B2792">
        <w:br/>
        <w:t>z uwz</w:t>
      </w:r>
      <w:r>
        <w:t>ględnieniem alergenów)</w:t>
      </w:r>
      <w:r w:rsidRPr="00E25580">
        <w:rPr>
          <w:rFonts w:eastAsia="Times New Roman"/>
        </w:rPr>
        <w:t>,</w:t>
      </w:r>
    </w:p>
    <w:p w:rsidR="003F0889" w:rsidRPr="007139EB" w:rsidRDefault="003F0889" w:rsidP="003F0889">
      <w:pPr>
        <w:ind w:left="510"/>
        <w:jc w:val="both"/>
        <w:rPr>
          <w:rFonts w:eastAsia="Times New Roman"/>
        </w:rPr>
      </w:pPr>
      <w:r w:rsidRPr="007139EB">
        <w:rPr>
          <w:rFonts w:eastAsia="Times New Roman"/>
        </w:rPr>
        <w:t>- przekroczonych terminów przydatności do spożycia lub dat minimalnej trwałości,</w:t>
      </w:r>
    </w:p>
    <w:p w:rsidR="003F0889" w:rsidRPr="007139EB" w:rsidRDefault="003F0889" w:rsidP="003F0889">
      <w:pPr>
        <w:tabs>
          <w:tab w:val="left" w:pos="500"/>
        </w:tabs>
        <w:jc w:val="both"/>
        <w:rPr>
          <w:rFonts w:eastAsia="Times New Roman"/>
          <w:szCs w:val="20"/>
          <w:lang w:eastAsia="ar-SA"/>
        </w:rPr>
      </w:pPr>
    </w:p>
    <w:p w:rsidR="003F0889" w:rsidRPr="007139EB" w:rsidRDefault="003F0889" w:rsidP="003F0889">
      <w:pPr>
        <w:numPr>
          <w:ilvl w:val="0"/>
          <w:numId w:val="22"/>
        </w:numPr>
        <w:jc w:val="both"/>
        <w:rPr>
          <w:rFonts w:eastAsia="Times New Roman"/>
          <w:b/>
        </w:rPr>
      </w:pPr>
      <w:r w:rsidRPr="007139EB">
        <w:rPr>
          <w:rFonts w:eastAsia="Times New Roman"/>
          <w:b/>
        </w:rPr>
        <w:t xml:space="preserve">ryby i przetwory rybne </w:t>
      </w:r>
      <w:r w:rsidRPr="007139EB">
        <w:rPr>
          <w:rFonts w:eastAsia="Times New Roman"/>
        </w:rPr>
        <w:t>– zbadano 229 partii, zakwestionowano 34 partie z uwagi na:</w:t>
      </w:r>
    </w:p>
    <w:p w:rsidR="003F0889" w:rsidRPr="007139EB" w:rsidRDefault="003F0889" w:rsidP="003F0889">
      <w:pPr>
        <w:ind w:left="510"/>
        <w:jc w:val="both"/>
        <w:rPr>
          <w:rFonts w:eastAsia="Times New Roman"/>
        </w:rPr>
      </w:pPr>
      <w:r w:rsidRPr="007139EB">
        <w:rPr>
          <w:rFonts w:eastAsia="Times New Roman"/>
        </w:rPr>
        <w:t xml:space="preserve">- niewłaściwą jakość konserw rybnych, ryb glazurowanych, mrożonych, marynat (niższa masa netto po odsączeniu, niewłaściwe cechy organoleptyczne, wyższa bądź niższa zawartość tłuszczu, wyższa zawartość glazury, wyższa zawartość sacharyny </w:t>
      </w:r>
      <w:r w:rsidRPr="007139EB">
        <w:rPr>
          <w:rFonts w:eastAsia="Times New Roman"/>
        </w:rPr>
        <w:br/>
        <w:t>i ich soli, podmiana asortymentowa gatunku ryby zadeklarowanej w nazwie),</w:t>
      </w:r>
    </w:p>
    <w:p w:rsidR="003F0889" w:rsidRPr="00E25580" w:rsidRDefault="003F0889" w:rsidP="003F0889">
      <w:pPr>
        <w:ind w:left="510"/>
        <w:jc w:val="both"/>
      </w:pPr>
      <w:r w:rsidRPr="007139EB">
        <w:rPr>
          <w:rFonts w:eastAsia="Times New Roman"/>
        </w:rPr>
        <w:t>- nieprawidłowe oznakowanie</w:t>
      </w:r>
      <w:r>
        <w:rPr>
          <w:rFonts w:eastAsia="Times New Roman"/>
        </w:rPr>
        <w:t xml:space="preserve"> (</w:t>
      </w:r>
      <w:r w:rsidRPr="008C20AF">
        <w:rPr>
          <w:lang w:bidi="pl-PL"/>
        </w:rPr>
        <w:t xml:space="preserve">wykaz składników poprzedzony niewłaściwym nagłówkiem, </w:t>
      </w:r>
      <w:r>
        <w:rPr>
          <w:lang w:bidi="pl-PL"/>
        </w:rPr>
        <w:t>brak</w:t>
      </w:r>
      <w:r w:rsidRPr="008C20AF">
        <w:rPr>
          <w:lang w:bidi="pl-PL"/>
        </w:rPr>
        <w:t xml:space="preserve"> metody produkcji oraz kategorii narzędzia połowowego używanego do połowów,</w:t>
      </w:r>
      <w:r>
        <w:t xml:space="preserve"> </w:t>
      </w:r>
      <w:r w:rsidRPr="008C20AF">
        <w:t>użycie niewłaściwego określenia słownego przed datą minimalnej trwałości,</w:t>
      </w:r>
      <w:r>
        <w:t xml:space="preserve"> </w:t>
      </w:r>
      <w:r w:rsidRPr="008C20AF">
        <w:rPr>
          <w:lang w:bidi="pl-PL"/>
        </w:rPr>
        <w:t>podanie w wartości odżywczej ilości sodu zamiast soli,</w:t>
      </w:r>
      <w:r>
        <w:t xml:space="preserve"> </w:t>
      </w:r>
      <w:r w:rsidRPr="008C20AF">
        <w:t>brak oznaczenia producenta oraz wykazu składników, w tym substancji alergennych</w:t>
      </w:r>
      <w:r>
        <w:rPr>
          <w:lang w:bidi="pl-PL"/>
        </w:rPr>
        <w:t>)</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przeterminowanie,</w:t>
      </w:r>
    </w:p>
    <w:p w:rsidR="003F0889" w:rsidRPr="007139EB" w:rsidRDefault="003F0889" w:rsidP="003F0889">
      <w:pPr>
        <w:jc w:val="both"/>
        <w:rPr>
          <w:rFonts w:eastAsia="Times New Roman"/>
          <w:b/>
        </w:rPr>
      </w:pPr>
    </w:p>
    <w:p w:rsidR="003F0889" w:rsidRPr="007139EB" w:rsidRDefault="003F0889" w:rsidP="003F0889">
      <w:pPr>
        <w:numPr>
          <w:ilvl w:val="0"/>
          <w:numId w:val="22"/>
        </w:numPr>
        <w:jc w:val="both"/>
        <w:rPr>
          <w:rFonts w:eastAsia="Times New Roman"/>
        </w:rPr>
      </w:pPr>
      <w:r w:rsidRPr="007139EB">
        <w:rPr>
          <w:rFonts w:eastAsia="Times New Roman"/>
          <w:b/>
        </w:rPr>
        <w:t xml:space="preserve">przetwory owocowo - warzywne </w:t>
      </w:r>
      <w:r w:rsidRPr="007139EB">
        <w:rPr>
          <w:rFonts w:eastAsia="Times New Roman"/>
        </w:rPr>
        <w:t>- zbadano 586 partii, zakwestionowano 19 partii. Uchybienia dotyczyły:</w:t>
      </w:r>
    </w:p>
    <w:p w:rsidR="003F0889" w:rsidRPr="007139EB" w:rsidRDefault="003F0889" w:rsidP="003F0889">
      <w:pPr>
        <w:ind w:left="510"/>
        <w:jc w:val="both"/>
        <w:rPr>
          <w:rFonts w:eastAsia="Times New Roman"/>
        </w:rPr>
      </w:pPr>
      <w:r w:rsidRPr="007139EB">
        <w:rPr>
          <w:rFonts w:eastAsia="Times New Roman"/>
        </w:rPr>
        <w:t>- nieprawidłowości w oznakowaniu</w:t>
      </w:r>
      <w:r>
        <w:rPr>
          <w:rFonts w:eastAsia="Times New Roman"/>
        </w:rPr>
        <w:t xml:space="preserve"> (</w:t>
      </w:r>
      <w:r w:rsidRPr="00CC27B7">
        <w:t>niewłaściwe określenie słowne przed datą minimalnej trwałości,</w:t>
      </w:r>
      <w:r>
        <w:t xml:space="preserve"> </w:t>
      </w:r>
      <w:r w:rsidRPr="00CC27B7">
        <w:rPr>
          <w:lang w:bidi="pl-PL"/>
        </w:rPr>
        <w:t>wykaz składników poprzedzony niewłaściwym nagłówkiem</w:t>
      </w:r>
      <w:r>
        <w:rPr>
          <w:lang w:bidi="pl-PL"/>
        </w:rPr>
        <w:t>)</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przekroczonych terminów przydatności do spożycia lub dat minimalnej trwałości,</w:t>
      </w:r>
    </w:p>
    <w:p w:rsidR="003F0889" w:rsidRPr="007139EB" w:rsidRDefault="003F0889" w:rsidP="003F0889">
      <w:pPr>
        <w:jc w:val="both"/>
        <w:rPr>
          <w:rFonts w:eastAsia="Times New Roman"/>
          <w:b/>
        </w:rPr>
      </w:pPr>
    </w:p>
    <w:p w:rsidR="003F0889" w:rsidRPr="007139EB" w:rsidRDefault="003F0889" w:rsidP="003F0889">
      <w:pPr>
        <w:numPr>
          <w:ilvl w:val="0"/>
          <w:numId w:val="22"/>
        </w:numPr>
        <w:jc w:val="both"/>
        <w:rPr>
          <w:rFonts w:eastAsia="Times New Roman"/>
        </w:rPr>
      </w:pPr>
      <w:r w:rsidRPr="007139EB">
        <w:rPr>
          <w:rFonts w:eastAsia="Times New Roman"/>
          <w:b/>
        </w:rPr>
        <w:t xml:space="preserve">mrożonki </w:t>
      </w:r>
      <w:r w:rsidRPr="007139EB">
        <w:rPr>
          <w:rFonts w:eastAsia="Times New Roman"/>
        </w:rPr>
        <w:t>- zbadano 77 partii, zakwestionowano 8 partii z uwagi na:</w:t>
      </w:r>
    </w:p>
    <w:p w:rsidR="003F0889" w:rsidRPr="007139EB" w:rsidRDefault="003F0889" w:rsidP="003F0889">
      <w:pPr>
        <w:ind w:left="510"/>
        <w:jc w:val="both"/>
        <w:rPr>
          <w:rFonts w:eastAsia="Times New Roman"/>
        </w:rPr>
      </w:pPr>
      <w:r w:rsidRPr="007139EB">
        <w:rPr>
          <w:rFonts w:eastAsia="Times New Roman"/>
        </w:rPr>
        <w:t>- uchybienia w oznakowaniu</w:t>
      </w:r>
      <w:r>
        <w:rPr>
          <w:rFonts w:eastAsia="Times New Roman"/>
        </w:rPr>
        <w:t xml:space="preserve"> (</w:t>
      </w:r>
      <w:r w:rsidRPr="003B2792">
        <w:t>brak oznaczenia producenta oraz wykazu składników, w tym substancji alergennych</w:t>
      </w:r>
      <w:r>
        <w:t>)</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przeterminowane produkty,</w:t>
      </w:r>
    </w:p>
    <w:p w:rsidR="003F0889" w:rsidRPr="007139EB" w:rsidRDefault="003F0889" w:rsidP="003F0889">
      <w:pPr>
        <w:jc w:val="both"/>
        <w:rPr>
          <w:rFonts w:eastAsia="Times New Roman"/>
          <w:b/>
        </w:rPr>
      </w:pPr>
    </w:p>
    <w:p w:rsidR="003F0889" w:rsidRPr="007139EB" w:rsidRDefault="003F0889" w:rsidP="003F0889">
      <w:pPr>
        <w:numPr>
          <w:ilvl w:val="0"/>
          <w:numId w:val="22"/>
        </w:numPr>
        <w:jc w:val="both"/>
        <w:rPr>
          <w:rFonts w:eastAsia="Times New Roman"/>
        </w:rPr>
      </w:pPr>
      <w:r w:rsidRPr="007139EB">
        <w:rPr>
          <w:rFonts w:eastAsia="Times New Roman"/>
          <w:b/>
        </w:rPr>
        <w:t xml:space="preserve">wyroby garmażeryjne </w:t>
      </w:r>
      <w:r w:rsidRPr="007139EB">
        <w:rPr>
          <w:rFonts w:eastAsia="Times New Roman"/>
        </w:rPr>
        <w:t>–</w:t>
      </w:r>
      <w:r w:rsidRPr="007139EB">
        <w:rPr>
          <w:rFonts w:eastAsia="Times New Roman"/>
          <w:b/>
        </w:rPr>
        <w:t xml:space="preserve"> </w:t>
      </w:r>
      <w:r w:rsidRPr="007139EB">
        <w:rPr>
          <w:rFonts w:eastAsia="Times New Roman"/>
        </w:rPr>
        <w:t>zbadano 127 partii, zakwestionowano 38 partii. Nieprawidłowości dotyczyły:</w:t>
      </w:r>
    </w:p>
    <w:p w:rsidR="003F0889" w:rsidRPr="007139EB" w:rsidRDefault="003F0889" w:rsidP="003F0889">
      <w:pPr>
        <w:ind w:left="510"/>
        <w:jc w:val="both"/>
        <w:rPr>
          <w:rFonts w:eastAsia="Times New Roman"/>
        </w:rPr>
      </w:pPr>
      <w:r w:rsidRPr="007139EB">
        <w:rPr>
          <w:rFonts w:eastAsia="Times New Roman"/>
        </w:rPr>
        <w:t>- niewłaściwej jakości (brak wołowiny deklarowanej w wykazie składników w fasolce po bretońsku),</w:t>
      </w:r>
    </w:p>
    <w:p w:rsidR="003F0889" w:rsidRPr="007139EB" w:rsidRDefault="003F0889" w:rsidP="003F0889">
      <w:pPr>
        <w:ind w:left="510"/>
        <w:jc w:val="both"/>
        <w:rPr>
          <w:rFonts w:eastAsia="Times New Roman"/>
        </w:rPr>
      </w:pPr>
      <w:r w:rsidRPr="007139EB">
        <w:rPr>
          <w:rFonts w:eastAsia="Times New Roman"/>
        </w:rPr>
        <w:t>- uchybień w oznakowaniu</w:t>
      </w:r>
      <w:r>
        <w:rPr>
          <w:rFonts w:eastAsia="Times New Roman"/>
        </w:rPr>
        <w:t xml:space="preserve"> (</w:t>
      </w:r>
      <w:r w:rsidRPr="008E5027">
        <w:rPr>
          <w:lang w:bidi="pl-PL"/>
        </w:rPr>
        <w:t>wykaz składników poprzedz</w:t>
      </w:r>
      <w:r>
        <w:rPr>
          <w:lang w:bidi="pl-PL"/>
        </w:rPr>
        <w:t>ony niewłaściwym nagłówkiem,</w:t>
      </w:r>
      <w:r w:rsidRPr="008E5027">
        <w:rPr>
          <w:lang w:bidi="pl-PL"/>
        </w:rPr>
        <w:t xml:space="preserve"> </w:t>
      </w:r>
      <w:r w:rsidRPr="008E5027">
        <w:t>brak podkreślenia alergenów,</w:t>
      </w:r>
      <w:r>
        <w:t xml:space="preserve"> </w:t>
      </w:r>
      <w:r w:rsidRPr="008E5027">
        <w:rPr>
          <w:lang w:bidi="pl-PL"/>
        </w:rPr>
        <w:t xml:space="preserve">podanie składników </w:t>
      </w:r>
      <w:r w:rsidRPr="008E5027">
        <w:rPr>
          <w:lang w:bidi="pl-PL"/>
        </w:rPr>
        <w:br/>
        <w:t xml:space="preserve">w niewłaściwej kolejności, </w:t>
      </w:r>
      <w:r w:rsidRPr="008E5027">
        <w:t xml:space="preserve">brak oznaczenia </w:t>
      </w:r>
      <w:r w:rsidRPr="00E9357B">
        <w:t>producenta</w:t>
      </w:r>
      <w:r>
        <w:t xml:space="preserve">, </w:t>
      </w:r>
      <w:r w:rsidRPr="00E9357B">
        <w:rPr>
          <w:lang w:bidi="pl-PL"/>
        </w:rPr>
        <w:t xml:space="preserve">podanie </w:t>
      </w:r>
      <w:r>
        <w:rPr>
          <w:lang w:bidi="pl-PL"/>
        </w:rPr>
        <w:t>nie</w:t>
      </w:r>
      <w:r w:rsidRPr="00E9357B">
        <w:rPr>
          <w:lang w:bidi="pl-PL"/>
        </w:rPr>
        <w:t>prawidłowej nazwy wymaganej przepisami</w:t>
      </w:r>
      <w:r>
        <w:rPr>
          <w:lang w:bidi="pl-PL"/>
        </w:rPr>
        <w:t>)</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przeterminowanych produktów,</w:t>
      </w:r>
    </w:p>
    <w:p w:rsidR="003F0889" w:rsidRPr="007139EB" w:rsidRDefault="003F0889" w:rsidP="003F0889">
      <w:pPr>
        <w:tabs>
          <w:tab w:val="left" w:pos="500"/>
        </w:tabs>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wyroby cukiernicze </w:t>
      </w:r>
      <w:r w:rsidRPr="007139EB">
        <w:rPr>
          <w:rFonts w:eastAsia="Times New Roman"/>
        </w:rPr>
        <w:t>- zbadano 1816 partii, zakwestionowano 203 asortymenty. Uchybienia dotyczyły:</w:t>
      </w:r>
    </w:p>
    <w:p w:rsidR="003F0889" w:rsidRPr="00A21FF4" w:rsidRDefault="003F0889" w:rsidP="003F0889">
      <w:pPr>
        <w:ind w:left="510"/>
        <w:jc w:val="both"/>
        <w:rPr>
          <w:b/>
          <w:u w:val="single"/>
        </w:rPr>
      </w:pPr>
      <w:r w:rsidRPr="007139EB">
        <w:rPr>
          <w:rFonts w:eastAsia="Times New Roman"/>
        </w:rPr>
        <w:t>- niewłaściwego oznakowania</w:t>
      </w:r>
      <w:r>
        <w:rPr>
          <w:rFonts w:eastAsia="Times New Roman"/>
        </w:rPr>
        <w:t xml:space="preserve"> (</w:t>
      </w:r>
      <w:r w:rsidRPr="003B2792">
        <w:t xml:space="preserve">zamieszczenie informacji o treści „Może zawierać </w:t>
      </w:r>
      <w:r w:rsidRPr="00A21FF4">
        <w:t>śladowe ilości…”,</w:t>
      </w:r>
      <w:r>
        <w:t xml:space="preserve"> </w:t>
      </w:r>
      <w:r w:rsidRPr="00A21FF4">
        <w:rPr>
          <w:lang w:bidi="pl-PL"/>
        </w:rPr>
        <w:t xml:space="preserve">wykaz składników poprzedzony niewłaściwym nagłówkiem oraz </w:t>
      </w:r>
      <w:r>
        <w:t>brak podkreślenia alergenów)</w:t>
      </w:r>
      <w:r w:rsidRPr="007139EB">
        <w:rPr>
          <w:rFonts w:eastAsia="Times New Roman"/>
        </w:rPr>
        <w:t>,</w:t>
      </w:r>
    </w:p>
    <w:p w:rsidR="003F0889" w:rsidRPr="007139EB" w:rsidRDefault="003F0889" w:rsidP="003F0889">
      <w:pPr>
        <w:ind w:left="510"/>
        <w:jc w:val="both"/>
        <w:rPr>
          <w:rFonts w:eastAsia="Times New Roman"/>
        </w:rPr>
      </w:pPr>
      <w:r w:rsidRPr="007139EB">
        <w:rPr>
          <w:rFonts w:eastAsia="Times New Roman"/>
        </w:rPr>
        <w:t>- oferowania do sprzedaży produktów przeterminowanych,</w:t>
      </w:r>
    </w:p>
    <w:p w:rsidR="003F0889" w:rsidRPr="007139EB" w:rsidRDefault="003F0889" w:rsidP="003F0889">
      <w:pPr>
        <w:tabs>
          <w:tab w:val="left" w:pos="500"/>
        </w:tabs>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napoje alkoholowe - </w:t>
      </w:r>
      <w:r w:rsidRPr="007139EB">
        <w:rPr>
          <w:rFonts w:eastAsia="Times New Roman"/>
        </w:rPr>
        <w:t xml:space="preserve">zbadano 141 partii, zakwestionowano 4 partie z uwagi na: </w:t>
      </w:r>
    </w:p>
    <w:p w:rsidR="003F0889" w:rsidRPr="007139EB" w:rsidRDefault="003F0889" w:rsidP="003F0889">
      <w:pPr>
        <w:tabs>
          <w:tab w:val="left" w:pos="500"/>
        </w:tabs>
        <w:ind w:left="510"/>
        <w:jc w:val="both"/>
        <w:rPr>
          <w:rFonts w:eastAsia="Times New Roman"/>
        </w:rPr>
      </w:pPr>
      <w:r w:rsidRPr="007139EB">
        <w:rPr>
          <w:rFonts w:eastAsia="Times New Roman"/>
        </w:rPr>
        <w:t>- niewłaściwą jakość (niższa zawartość popiołu w cydrze),</w:t>
      </w:r>
    </w:p>
    <w:p w:rsidR="003F0889" w:rsidRPr="007139EB" w:rsidRDefault="003F0889" w:rsidP="003F0889">
      <w:pPr>
        <w:tabs>
          <w:tab w:val="left" w:pos="500"/>
        </w:tabs>
        <w:ind w:left="790"/>
        <w:jc w:val="both"/>
        <w:rPr>
          <w:rFonts w:eastAsia="Times New Roman"/>
          <w:b/>
        </w:rPr>
      </w:pPr>
    </w:p>
    <w:p w:rsidR="003F0889" w:rsidRPr="007139EB" w:rsidRDefault="003F0889" w:rsidP="003F0889">
      <w:pPr>
        <w:numPr>
          <w:ilvl w:val="0"/>
          <w:numId w:val="22"/>
        </w:numPr>
        <w:jc w:val="both"/>
        <w:rPr>
          <w:rFonts w:eastAsia="Times New Roman"/>
          <w:b/>
        </w:rPr>
      </w:pPr>
      <w:r w:rsidRPr="007139EB">
        <w:rPr>
          <w:rFonts w:eastAsia="Times New Roman"/>
          <w:b/>
        </w:rPr>
        <w:t xml:space="preserve">napoje bezalkoholowe </w:t>
      </w:r>
      <w:r w:rsidRPr="007139EB">
        <w:rPr>
          <w:rFonts w:eastAsia="Times New Roman"/>
        </w:rPr>
        <w:t>–</w:t>
      </w:r>
      <w:r w:rsidRPr="007139EB">
        <w:rPr>
          <w:rFonts w:eastAsia="Times New Roman"/>
          <w:b/>
        </w:rPr>
        <w:t xml:space="preserve"> </w:t>
      </w:r>
      <w:r w:rsidRPr="007139EB">
        <w:rPr>
          <w:rFonts w:eastAsia="Times New Roman"/>
        </w:rPr>
        <w:t>badaniu poddano 603 partie, zakwestionowano 14 z powodu:</w:t>
      </w:r>
    </w:p>
    <w:p w:rsidR="003F0889" w:rsidRPr="007139EB" w:rsidRDefault="003F0889" w:rsidP="003F0889">
      <w:pPr>
        <w:tabs>
          <w:tab w:val="left" w:pos="500"/>
        </w:tabs>
        <w:ind w:left="510"/>
        <w:jc w:val="both"/>
        <w:rPr>
          <w:rFonts w:eastAsia="Times New Roman"/>
        </w:rPr>
      </w:pPr>
      <w:r w:rsidRPr="007139EB">
        <w:rPr>
          <w:rFonts w:eastAsia="Times New Roman"/>
        </w:rPr>
        <w:t>- niewłaściwej jakości wody mineralnej (wyższa zawartość kationu sodowego oraz anionu wodorowęglanowego),</w:t>
      </w:r>
    </w:p>
    <w:p w:rsidR="003F0889" w:rsidRPr="007139EB" w:rsidRDefault="003F0889" w:rsidP="003F0889">
      <w:pPr>
        <w:tabs>
          <w:tab w:val="left" w:pos="500"/>
        </w:tabs>
        <w:ind w:left="510"/>
        <w:jc w:val="both"/>
        <w:rPr>
          <w:rFonts w:eastAsia="Times New Roman"/>
          <w:b/>
        </w:rPr>
      </w:pPr>
      <w:r w:rsidRPr="007139EB">
        <w:rPr>
          <w:rFonts w:eastAsia="Times New Roman"/>
        </w:rPr>
        <w:t>- przekroczenia dat minimalnej trwałości,</w:t>
      </w:r>
    </w:p>
    <w:p w:rsidR="003F0889" w:rsidRPr="007139EB" w:rsidRDefault="003F0889" w:rsidP="003F0889">
      <w:pPr>
        <w:tabs>
          <w:tab w:val="left" w:pos="500"/>
        </w:tabs>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oleje i tłuszcze - </w:t>
      </w:r>
      <w:r w:rsidRPr="007139EB">
        <w:rPr>
          <w:rFonts w:eastAsia="Times New Roman"/>
        </w:rPr>
        <w:t xml:space="preserve">zbadano 80 partii, zakwestionowano 15 partii z uwagi na: </w:t>
      </w:r>
    </w:p>
    <w:p w:rsidR="003F0889" w:rsidRPr="007139EB" w:rsidRDefault="003F0889" w:rsidP="003F0889">
      <w:pPr>
        <w:tabs>
          <w:tab w:val="left" w:pos="500"/>
        </w:tabs>
        <w:ind w:left="510"/>
        <w:jc w:val="both"/>
        <w:rPr>
          <w:rFonts w:eastAsia="Times New Roman"/>
        </w:rPr>
      </w:pPr>
      <w:r>
        <w:rPr>
          <w:rFonts w:eastAsia="Times New Roman"/>
        </w:rPr>
        <w:t xml:space="preserve">- </w:t>
      </w:r>
      <w:r w:rsidRPr="007139EB">
        <w:rPr>
          <w:rFonts w:eastAsia="Times New Roman"/>
        </w:rPr>
        <w:t>nieprawidłowe oznakowanie</w:t>
      </w:r>
      <w:r>
        <w:rPr>
          <w:rFonts w:eastAsia="Times New Roman"/>
        </w:rPr>
        <w:t xml:space="preserve"> (</w:t>
      </w:r>
      <w:r>
        <w:rPr>
          <w:lang w:bidi="pl-PL"/>
        </w:rPr>
        <w:t xml:space="preserve">brak oznaczeń </w:t>
      </w:r>
      <w:r w:rsidRPr="003B2792">
        <w:rPr>
          <w:lang w:bidi="pl-PL"/>
        </w:rPr>
        <w:t>w języku polskim</w:t>
      </w:r>
      <w:r w:rsidRPr="003B2792">
        <w:t>,</w:t>
      </w:r>
      <w:r>
        <w:t xml:space="preserve"> </w:t>
      </w:r>
      <w:r w:rsidRPr="003B2792">
        <w:t>niewłaściwe określenie słowne przed datą minimalnej trwałości,</w:t>
      </w:r>
      <w:r w:rsidRPr="003B2792">
        <w:rPr>
          <w:lang w:bidi="pl-PL"/>
        </w:rPr>
        <w:t xml:space="preserve"> podanie informacji o wartości odżywczej w niewłaściwej kolejności oraz oświadczeń żywieniowych bez określenia ilości wymienionych składników odżywczych,</w:t>
      </w:r>
      <w:r>
        <w:t xml:space="preserve"> </w:t>
      </w:r>
      <w:r w:rsidRPr="00100B81">
        <w:rPr>
          <w:lang w:bidi="pl-PL"/>
        </w:rPr>
        <w:t>podanie</w:t>
      </w:r>
      <w:r>
        <w:rPr>
          <w:color w:val="FF0000"/>
          <w:lang w:bidi="pl-PL"/>
        </w:rPr>
        <w:t xml:space="preserve"> </w:t>
      </w:r>
      <w:r>
        <w:rPr>
          <w:lang w:bidi="pl-PL"/>
        </w:rPr>
        <w:t>nieprawidłowej</w:t>
      </w:r>
      <w:r w:rsidRPr="008C20AF">
        <w:rPr>
          <w:lang w:bidi="pl-PL"/>
        </w:rPr>
        <w:t xml:space="preserve"> nazwy wymaganej przepisami</w:t>
      </w:r>
      <w:r>
        <w:rPr>
          <w:lang w:bidi="pl-PL"/>
        </w:rPr>
        <w:t>)</w:t>
      </w:r>
      <w:r w:rsidRPr="007139EB">
        <w:rPr>
          <w:rFonts w:eastAsia="Times New Roman"/>
        </w:rPr>
        <w:t>,</w:t>
      </w:r>
    </w:p>
    <w:p w:rsidR="003F0889" w:rsidRPr="007139EB" w:rsidRDefault="003F0889" w:rsidP="003F0889">
      <w:pPr>
        <w:tabs>
          <w:tab w:val="left" w:pos="500"/>
        </w:tabs>
        <w:ind w:left="510"/>
        <w:jc w:val="both"/>
        <w:rPr>
          <w:rFonts w:eastAsia="Times New Roman"/>
        </w:rPr>
      </w:pPr>
      <w:r w:rsidRPr="007139EB">
        <w:rPr>
          <w:rFonts w:eastAsia="Times New Roman"/>
          <w:b/>
        </w:rPr>
        <w:t>-</w:t>
      </w:r>
      <w:r w:rsidRPr="007139EB">
        <w:rPr>
          <w:rFonts w:eastAsia="Times New Roman"/>
        </w:rPr>
        <w:t xml:space="preserve"> przeterminowanie,</w:t>
      </w:r>
    </w:p>
    <w:p w:rsidR="003F0889" w:rsidRPr="007139EB" w:rsidRDefault="003F0889" w:rsidP="003F0889">
      <w:pPr>
        <w:tabs>
          <w:tab w:val="left" w:pos="500"/>
        </w:tabs>
        <w:jc w:val="both"/>
        <w:rPr>
          <w:rFonts w:eastAsia="Times New Roman"/>
        </w:rPr>
      </w:pPr>
    </w:p>
    <w:p w:rsidR="003F0889" w:rsidRPr="007139EB" w:rsidRDefault="003F0889" w:rsidP="003F0889">
      <w:pPr>
        <w:numPr>
          <w:ilvl w:val="0"/>
          <w:numId w:val="22"/>
        </w:numPr>
        <w:jc w:val="both"/>
        <w:rPr>
          <w:rFonts w:eastAsia="Times New Roman"/>
          <w:b/>
        </w:rPr>
      </w:pPr>
      <w:r w:rsidRPr="007139EB">
        <w:rPr>
          <w:rFonts w:eastAsia="Times New Roman"/>
          <w:b/>
        </w:rPr>
        <w:t xml:space="preserve">owoce i warzywa świeże </w:t>
      </w:r>
      <w:r w:rsidRPr="007139EB">
        <w:rPr>
          <w:rFonts w:eastAsia="Times New Roman"/>
        </w:rPr>
        <w:t>- zbadano 50 partii, zakwestionowano 12 partii. Nieprawidłowości dotyczyły:</w:t>
      </w:r>
    </w:p>
    <w:p w:rsidR="003F0889" w:rsidRPr="007139EB" w:rsidRDefault="003F0889" w:rsidP="003F0889">
      <w:pPr>
        <w:tabs>
          <w:tab w:val="left" w:pos="500"/>
        </w:tabs>
        <w:ind w:left="510"/>
        <w:jc w:val="both"/>
        <w:rPr>
          <w:rFonts w:eastAsia="Times New Roman"/>
        </w:rPr>
      </w:pPr>
      <w:r w:rsidRPr="007139EB">
        <w:rPr>
          <w:rFonts w:eastAsia="Times New Roman"/>
        </w:rPr>
        <w:t>- niespełnienia wymagań w zakresie jakości i wielkości w odniesieniu do nektarynek,</w:t>
      </w:r>
    </w:p>
    <w:p w:rsidR="003F0889" w:rsidRPr="007139EB" w:rsidRDefault="003F0889" w:rsidP="003F0889">
      <w:pPr>
        <w:tabs>
          <w:tab w:val="left" w:pos="500"/>
        </w:tabs>
        <w:ind w:left="510"/>
        <w:jc w:val="both"/>
        <w:rPr>
          <w:rFonts w:eastAsia="Times New Roman"/>
        </w:rPr>
      </w:pPr>
      <w:r w:rsidRPr="007139EB">
        <w:rPr>
          <w:rFonts w:eastAsia="Times New Roman"/>
        </w:rPr>
        <w:t>- niewłaściwego oznakowania</w:t>
      </w:r>
      <w:r>
        <w:rPr>
          <w:rFonts w:eastAsia="Times New Roman"/>
        </w:rPr>
        <w:t xml:space="preserve"> (</w:t>
      </w:r>
      <w:r w:rsidRPr="00F550FD">
        <w:rPr>
          <w:lang w:bidi="pl-PL"/>
        </w:rPr>
        <w:t>brak podania na etykiecie barwy miąższu,</w:t>
      </w:r>
      <w:r>
        <w:t xml:space="preserve"> </w:t>
      </w:r>
      <w:r w:rsidRPr="00F550FD">
        <w:rPr>
          <w:lang w:bidi="pl-PL"/>
        </w:rPr>
        <w:t>całkowity brak oznakowania opakowań,</w:t>
      </w:r>
      <w:r>
        <w:t xml:space="preserve"> </w:t>
      </w:r>
      <w:r w:rsidRPr="00F550FD">
        <w:rPr>
          <w:lang w:bidi="pl-PL"/>
        </w:rPr>
        <w:t>brak na wywieszce dla</w:t>
      </w:r>
      <w:r>
        <w:rPr>
          <w:lang w:bidi="pl-PL"/>
        </w:rPr>
        <w:t xml:space="preserve"> klienta odmiany produktu oraz </w:t>
      </w:r>
      <w:r w:rsidRPr="00F550FD">
        <w:rPr>
          <w:lang w:bidi="pl-PL"/>
        </w:rPr>
        <w:t>kraju pochodzenia</w:t>
      </w:r>
      <w:r>
        <w:rPr>
          <w:lang w:bidi="pl-PL"/>
        </w:rPr>
        <w:t>)</w:t>
      </w:r>
      <w:r w:rsidRPr="007139EB">
        <w:rPr>
          <w:rFonts w:eastAsia="Times New Roman"/>
        </w:rPr>
        <w:t>,</w:t>
      </w:r>
    </w:p>
    <w:p w:rsidR="003F0889" w:rsidRPr="007139EB" w:rsidRDefault="003F0889" w:rsidP="003F0889">
      <w:pPr>
        <w:tabs>
          <w:tab w:val="left" w:pos="500"/>
        </w:tabs>
        <w:ind w:left="510"/>
        <w:jc w:val="both"/>
        <w:rPr>
          <w:rFonts w:eastAsia="Times New Roman"/>
          <w:b/>
        </w:rPr>
      </w:pPr>
      <w:r w:rsidRPr="007139EB">
        <w:rPr>
          <w:rFonts w:eastAsia="Times New Roman"/>
        </w:rPr>
        <w:t>- braku dowodów potwierdzających identyfikowalność produktów,</w:t>
      </w:r>
    </w:p>
    <w:p w:rsidR="003F0889" w:rsidRPr="007139EB" w:rsidRDefault="003F0889" w:rsidP="003F0889">
      <w:pPr>
        <w:tabs>
          <w:tab w:val="left" w:pos="500"/>
        </w:tabs>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kawa i herbata - </w:t>
      </w:r>
      <w:r w:rsidRPr="007139EB">
        <w:rPr>
          <w:rFonts w:eastAsia="Times New Roman"/>
        </w:rPr>
        <w:t xml:space="preserve">zbadano 297 partii, zakwestionowano 34 partie z uwagi na: </w:t>
      </w:r>
    </w:p>
    <w:p w:rsidR="003F0889" w:rsidRPr="007139EB" w:rsidRDefault="003F0889" w:rsidP="003F0889">
      <w:pPr>
        <w:tabs>
          <w:tab w:val="left" w:pos="500"/>
        </w:tabs>
        <w:ind w:left="510"/>
        <w:jc w:val="both"/>
        <w:rPr>
          <w:rFonts w:eastAsia="Times New Roman"/>
        </w:rPr>
      </w:pPr>
      <w:r w:rsidRPr="007139EB">
        <w:rPr>
          <w:rFonts w:eastAsia="Times New Roman"/>
        </w:rPr>
        <w:t>- nieprawidłowe oznakowanie</w:t>
      </w:r>
      <w:r>
        <w:rPr>
          <w:rFonts w:eastAsia="Times New Roman"/>
        </w:rPr>
        <w:t xml:space="preserve"> (</w:t>
      </w:r>
      <w:r w:rsidRPr="003B2792">
        <w:t xml:space="preserve">brak oznaczenia producenta i wykazu składników </w:t>
      </w:r>
      <w:r>
        <w:br/>
      </w:r>
      <w:r w:rsidRPr="003B2792">
        <w:t>z uwzględnieniem alergenów,</w:t>
      </w:r>
      <w:r>
        <w:t xml:space="preserve"> </w:t>
      </w:r>
      <w:r w:rsidRPr="003B2792">
        <w:rPr>
          <w:lang w:bidi="pl-PL"/>
        </w:rPr>
        <w:t>podania dwóch różnych informacji o dacie minimalnej trwałości i partii produkcyjnej</w:t>
      </w:r>
      <w:r>
        <w:rPr>
          <w:lang w:bidi="pl-PL"/>
        </w:rPr>
        <w:t>)</w:t>
      </w:r>
      <w:r w:rsidRPr="007139EB">
        <w:rPr>
          <w:rFonts w:eastAsia="Times New Roman"/>
        </w:rPr>
        <w:t>,</w:t>
      </w:r>
    </w:p>
    <w:p w:rsidR="003F0889" w:rsidRPr="007139EB" w:rsidRDefault="003F0889" w:rsidP="003F0889">
      <w:pPr>
        <w:tabs>
          <w:tab w:val="left" w:pos="500"/>
        </w:tabs>
        <w:ind w:left="510"/>
        <w:jc w:val="both"/>
        <w:rPr>
          <w:rFonts w:eastAsia="Times New Roman"/>
        </w:rPr>
      </w:pPr>
      <w:r w:rsidRPr="007139EB">
        <w:rPr>
          <w:rFonts w:eastAsia="Times New Roman"/>
          <w:b/>
        </w:rPr>
        <w:t>-</w:t>
      </w:r>
      <w:r w:rsidRPr="007139EB">
        <w:rPr>
          <w:rFonts w:eastAsia="Times New Roman"/>
        </w:rPr>
        <w:t xml:space="preserve"> przekroczone daty minimalnej trwałości,</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tabs>
          <w:tab w:val="clear" w:pos="510"/>
          <w:tab w:val="left" w:pos="500"/>
        </w:tabs>
        <w:jc w:val="both"/>
        <w:rPr>
          <w:rFonts w:eastAsia="Times New Roman"/>
        </w:rPr>
      </w:pPr>
      <w:r w:rsidRPr="007139EB">
        <w:rPr>
          <w:rFonts w:eastAsia="Times New Roman"/>
          <w:b/>
        </w:rPr>
        <w:t xml:space="preserve">koncentraty spożywcze – </w:t>
      </w:r>
      <w:r w:rsidRPr="007139EB">
        <w:rPr>
          <w:rFonts w:eastAsia="Times New Roman"/>
        </w:rPr>
        <w:t xml:space="preserve">badaniu poddano 438 partii, zakwestionowano 88 partii </w:t>
      </w:r>
      <w:r w:rsidRPr="007139EB">
        <w:rPr>
          <w:rFonts w:eastAsia="Times New Roman"/>
        </w:rPr>
        <w:br/>
        <w:t>z powodu przekroczonych dat minimalnej trwałości,</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zioła i przyprawy - </w:t>
      </w:r>
      <w:r w:rsidRPr="007139EB">
        <w:rPr>
          <w:rFonts w:eastAsia="Times New Roman"/>
        </w:rPr>
        <w:t xml:space="preserve">zbadano 590 partii, zakwestionowano 51 partii z uwagi na: </w:t>
      </w:r>
    </w:p>
    <w:p w:rsidR="003F0889" w:rsidRPr="007139EB" w:rsidRDefault="003F0889" w:rsidP="003F0889">
      <w:pPr>
        <w:tabs>
          <w:tab w:val="left" w:pos="500"/>
        </w:tabs>
        <w:ind w:left="510"/>
        <w:jc w:val="both"/>
        <w:rPr>
          <w:rFonts w:eastAsia="Times New Roman"/>
        </w:rPr>
      </w:pPr>
      <w:r w:rsidRPr="007139EB">
        <w:rPr>
          <w:rFonts w:eastAsia="Times New Roman"/>
        </w:rPr>
        <w:t>- nieprawidłowe oznakowanie</w:t>
      </w:r>
      <w:r>
        <w:rPr>
          <w:rFonts w:eastAsia="Times New Roman"/>
        </w:rPr>
        <w:t xml:space="preserve"> (</w:t>
      </w:r>
      <w:r w:rsidRPr="003B2792">
        <w:t>zamieszczenie informacji o treści „Produkt może zawierać śladowe ilości …”</w:t>
      </w:r>
      <w:r>
        <w:t>)</w:t>
      </w:r>
      <w:r w:rsidRPr="007139EB">
        <w:rPr>
          <w:rFonts w:eastAsia="Times New Roman"/>
        </w:rPr>
        <w:t>,</w:t>
      </w:r>
    </w:p>
    <w:p w:rsidR="003F0889" w:rsidRPr="007139EB" w:rsidRDefault="003F0889" w:rsidP="003F0889">
      <w:pPr>
        <w:tabs>
          <w:tab w:val="left" w:pos="500"/>
        </w:tabs>
        <w:ind w:left="510"/>
        <w:jc w:val="both"/>
        <w:rPr>
          <w:rFonts w:eastAsia="Times New Roman"/>
        </w:rPr>
      </w:pPr>
      <w:r w:rsidRPr="007139EB">
        <w:rPr>
          <w:rFonts w:eastAsia="Times New Roman"/>
          <w:b/>
        </w:rPr>
        <w:t>-</w:t>
      </w:r>
      <w:r w:rsidRPr="007139EB">
        <w:rPr>
          <w:rFonts w:eastAsia="Times New Roman"/>
        </w:rPr>
        <w:t xml:space="preserve"> oferowanie do sprzedaży produktów po upływie daty minimalnej trwałości,</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jc w:val="both"/>
        <w:rPr>
          <w:rFonts w:eastAsia="Times New Roman"/>
        </w:rPr>
      </w:pPr>
      <w:r w:rsidRPr="007139EB">
        <w:rPr>
          <w:rFonts w:eastAsia="Times New Roman"/>
          <w:b/>
        </w:rPr>
        <w:t xml:space="preserve">zupy, buliony, sosy - </w:t>
      </w:r>
      <w:r w:rsidRPr="007139EB">
        <w:rPr>
          <w:rFonts w:eastAsia="Times New Roman"/>
        </w:rPr>
        <w:t>zbadano 180 partii, zakwestionowano 10 partii z powodu przekroczenia dat minimalnej trwałości,</w:t>
      </w:r>
    </w:p>
    <w:p w:rsidR="003F0889" w:rsidRPr="007139EB" w:rsidRDefault="003F0889" w:rsidP="003F0889">
      <w:pPr>
        <w:tabs>
          <w:tab w:val="left" w:pos="500"/>
        </w:tabs>
        <w:ind w:left="510"/>
        <w:jc w:val="both"/>
        <w:rPr>
          <w:rFonts w:eastAsia="Times New Roman"/>
          <w:b/>
        </w:rPr>
      </w:pPr>
    </w:p>
    <w:p w:rsidR="003F0889" w:rsidRPr="007139EB" w:rsidRDefault="003F0889" w:rsidP="003F0889">
      <w:pPr>
        <w:numPr>
          <w:ilvl w:val="0"/>
          <w:numId w:val="22"/>
        </w:numPr>
        <w:jc w:val="both"/>
        <w:rPr>
          <w:rFonts w:eastAsia="Times New Roman"/>
        </w:rPr>
      </w:pPr>
      <w:r w:rsidRPr="007139EB">
        <w:rPr>
          <w:rFonts w:eastAsia="Times New Roman"/>
          <w:b/>
        </w:rPr>
        <w:t xml:space="preserve">żywność specjalnego przeznaczenia żywieniowego - </w:t>
      </w:r>
      <w:r w:rsidRPr="007139EB">
        <w:rPr>
          <w:rFonts w:eastAsia="Times New Roman"/>
        </w:rPr>
        <w:t xml:space="preserve">zbadano 53 partie, zakwestionowano 24 partii z uwagi na: </w:t>
      </w:r>
    </w:p>
    <w:p w:rsidR="003F0889" w:rsidRPr="007139EB" w:rsidRDefault="003F0889" w:rsidP="003F0889">
      <w:pPr>
        <w:tabs>
          <w:tab w:val="left" w:pos="500"/>
        </w:tabs>
        <w:ind w:left="510"/>
        <w:jc w:val="both"/>
        <w:rPr>
          <w:rFonts w:eastAsia="Times New Roman"/>
        </w:rPr>
      </w:pPr>
      <w:r w:rsidRPr="007139EB">
        <w:rPr>
          <w:rFonts w:eastAsia="Times New Roman"/>
        </w:rPr>
        <w:lastRenderedPageBreak/>
        <w:t>- nieprawidłowe oznakowanie</w:t>
      </w:r>
      <w:r>
        <w:rPr>
          <w:rFonts w:eastAsia="Times New Roman"/>
        </w:rPr>
        <w:t xml:space="preserve"> (</w:t>
      </w:r>
      <w:r w:rsidRPr="00672A49">
        <w:t>produkty nie znajdowały się w rejestrze żywności prozdrowotnej na stronie GIS,</w:t>
      </w:r>
      <w:r>
        <w:t xml:space="preserve"> </w:t>
      </w:r>
      <w:r w:rsidRPr="00672A49">
        <w:t>produkt</w:t>
      </w:r>
      <w:r>
        <w:t>y</w:t>
      </w:r>
      <w:r w:rsidRPr="00672A49">
        <w:t xml:space="preserve"> zawierały oświadczenia nie wymienione </w:t>
      </w:r>
      <w:r>
        <w:br/>
      </w:r>
      <w:r w:rsidRPr="00672A49">
        <w:t xml:space="preserve">w rozporządzeniu </w:t>
      </w:r>
      <w:r w:rsidRPr="00672A49">
        <w:rPr>
          <w:szCs w:val="22"/>
        </w:rPr>
        <w:t>Komisji (UE) nr 432/2012 i</w:t>
      </w:r>
      <w:r w:rsidRPr="00672A49">
        <w:t xml:space="preserve"> w rejestrze Komisji Europejskiej</w:t>
      </w:r>
      <w:r w:rsidRPr="00672A49">
        <w:rPr>
          <w:szCs w:val="22"/>
        </w:rPr>
        <w:t>,</w:t>
      </w:r>
      <w:r>
        <w:t xml:space="preserve"> </w:t>
      </w:r>
      <w:r w:rsidRPr="00672A49">
        <w:rPr>
          <w:lang w:bidi="pl-PL"/>
        </w:rPr>
        <w:t>wykaz składników poprzedzony niewłaściwym nagłówkiem</w:t>
      </w:r>
      <w:r>
        <w:t xml:space="preserve">, </w:t>
      </w:r>
      <w:r w:rsidRPr="00672A49">
        <w:t>nie</w:t>
      </w:r>
      <w:r>
        <w:t>prawidło</w:t>
      </w:r>
      <w:r w:rsidRPr="00672A49">
        <w:t>we określenie słowne przed datą minimalnej trwałości,</w:t>
      </w:r>
      <w:r>
        <w:t xml:space="preserve"> </w:t>
      </w:r>
      <w:r w:rsidRPr="00672A49">
        <w:t xml:space="preserve">elementy </w:t>
      </w:r>
      <w:r>
        <w:t>wartości odżywczej podane</w:t>
      </w:r>
      <w:r w:rsidRPr="00672A49">
        <w:t xml:space="preserve"> w </w:t>
      </w:r>
      <w:r>
        <w:t>niewłaściwej</w:t>
      </w:r>
      <w:r w:rsidRPr="00672A49">
        <w:t xml:space="preserve"> kolejności, w tabeli wartości odżywczej podano sód zamiast sól, brak stwierdzenia: „Nie zaleca się stosowania u dzieci</w:t>
      </w:r>
      <w:r>
        <w:t xml:space="preserve"> i kobiet w ciąży”)</w:t>
      </w:r>
      <w:r w:rsidRPr="007139EB">
        <w:rPr>
          <w:rFonts w:eastAsia="Times New Roman"/>
        </w:rPr>
        <w:t>,</w:t>
      </w:r>
    </w:p>
    <w:p w:rsidR="003F0889" w:rsidRPr="007139EB" w:rsidRDefault="003F0889" w:rsidP="003F0889">
      <w:pPr>
        <w:tabs>
          <w:tab w:val="left" w:pos="500"/>
        </w:tabs>
        <w:ind w:left="510"/>
        <w:jc w:val="both"/>
        <w:rPr>
          <w:rFonts w:eastAsia="Times New Roman"/>
        </w:rPr>
      </w:pPr>
      <w:r w:rsidRPr="007139EB">
        <w:rPr>
          <w:rFonts w:eastAsia="Times New Roman"/>
          <w:b/>
        </w:rPr>
        <w:t>-</w:t>
      </w:r>
      <w:r w:rsidRPr="007139EB">
        <w:rPr>
          <w:rFonts w:eastAsia="Times New Roman"/>
        </w:rPr>
        <w:t xml:space="preserve"> przekroczone daty minimalnej trwałości,</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tabs>
          <w:tab w:val="clear" w:pos="510"/>
          <w:tab w:val="left" w:pos="500"/>
        </w:tabs>
        <w:jc w:val="both"/>
        <w:rPr>
          <w:rFonts w:eastAsia="Times New Roman"/>
        </w:rPr>
      </w:pPr>
      <w:r w:rsidRPr="007139EB">
        <w:rPr>
          <w:rFonts w:eastAsia="Times New Roman"/>
          <w:b/>
        </w:rPr>
        <w:t xml:space="preserve">inne produkty żywnościowe - </w:t>
      </w:r>
      <w:r w:rsidRPr="007139EB">
        <w:rPr>
          <w:rFonts w:eastAsia="Times New Roman"/>
        </w:rPr>
        <w:t>zbadano 517 partii, zakwestionowano 69 partii. Nieprawidłowości dotyczyły:</w:t>
      </w:r>
    </w:p>
    <w:p w:rsidR="003F0889" w:rsidRPr="007139EB" w:rsidRDefault="003F0889" w:rsidP="003F0889">
      <w:pPr>
        <w:tabs>
          <w:tab w:val="left" w:pos="500"/>
        </w:tabs>
        <w:ind w:left="510"/>
        <w:jc w:val="both"/>
        <w:rPr>
          <w:rFonts w:eastAsia="Times New Roman"/>
        </w:rPr>
      </w:pPr>
      <w:r w:rsidRPr="007139EB">
        <w:rPr>
          <w:rFonts w:eastAsia="Times New Roman"/>
        </w:rPr>
        <w:t>- niewłaściwego oznakowania</w:t>
      </w:r>
      <w:r>
        <w:rPr>
          <w:rFonts w:eastAsia="Times New Roman"/>
        </w:rPr>
        <w:t xml:space="preserve"> (</w:t>
      </w:r>
      <w:r w:rsidRPr="004D3729">
        <w:t xml:space="preserve">brak oznaczenia producenta i wykazu składników </w:t>
      </w:r>
      <w:r>
        <w:br/>
      </w:r>
      <w:r w:rsidRPr="004D3729">
        <w:t>z uwzględnieniem alergenów</w:t>
      </w:r>
      <w:r>
        <w:t>)</w:t>
      </w:r>
      <w:r w:rsidRPr="007139EB">
        <w:rPr>
          <w:rFonts w:eastAsia="Times New Roman"/>
        </w:rPr>
        <w:t>,</w:t>
      </w:r>
    </w:p>
    <w:p w:rsidR="003F0889" w:rsidRPr="007139EB" w:rsidRDefault="003F0889" w:rsidP="003F0889">
      <w:pPr>
        <w:tabs>
          <w:tab w:val="left" w:pos="500"/>
        </w:tabs>
        <w:ind w:left="510"/>
        <w:jc w:val="both"/>
        <w:rPr>
          <w:rFonts w:eastAsia="Times New Roman"/>
        </w:rPr>
      </w:pPr>
      <w:r w:rsidRPr="007139EB">
        <w:rPr>
          <w:rFonts w:eastAsia="Times New Roman"/>
          <w:b/>
        </w:rPr>
        <w:t>-</w:t>
      </w:r>
      <w:r w:rsidRPr="007139EB">
        <w:rPr>
          <w:rFonts w:eastAsia="Times New Roman"/>
        </w:rPr>
        <w:t xml:space="preserve"> przeterminowania produktów,</w:t>
      </w:r>
    </w:p>
    <w:p w:rsidR="003F0889" w:rsidRPr="007139EB" w:rsidRDefault="003F0889" w:rsidP="003F0889">
      <w:pPr>
        <w:tabs>
          <w:tab w:val="left" w:pos="500"/>
        </w:tabs>
        <w:ind w:left="510"/>
        <w:jc w:val="both"/>
        <w:rPr>
          <w:rFonts w:eastAsia="Times New Roman"/>
        </w:rPr>
      </w:pPr>
    </w:p>
    <w:p w:rsidR="003F0889" w:rsidRPr="007139EB" w:rsidRDefault="003F0889" w:rsidP="003F0889">
      <w:pPr>
        <w:numPr>
          <w:ilvl w:val="0"/>
          <w:numId w:val="22"/>
        </w:numPr>
        <w:tabs>
          <w:tab w:val="clear" w:pos="510"/>
          <w:tab w:val="left" w:pos="500"/>
        </w:tabs>
        <w:jc w:val="both"/>
        <w:rPr>
          <w:rFonts w:eastAsia="Times New Roman"/>
        </w:rPr>
      </w:pPr>
      <w:r w:rsidRPr="007139EB">
        <w:rPr>
          <w:rFonts w:eastAsia="Times New Roman"/>
          <w:b/>
        </w:rPr>
        <w:t>produkty żywnościowe w gastronomii</w:t>
      </w:r>
      <w:r w:rsidR="00C4624E">
        <w:rPr>
          <w:rFonts w:eastAsia="Times New Roman"/>
        </w:rPr>
        <w:t xml:space="preserve"> – zbadano 993 partie</w:t>
      </w:r>
      <w:r w:rsidRPr="007139EB">
        <w:rPr>
          <w:rFonts w:eastAsia="Times New Roman"/>
        </w:rPr>
        <w:t>, zakwestionowano 85 partii. Uchybienia dotyczyły:</w:t>
      </w:r>
    </w:p>
    <w:p w:rsidR="003F0889" w:rsidRPr="007139EB" w:rsidRDefault="003F0889" w:rsidP="003F0889">
      <w:pPr>
        <w:tabs>
          <w:tab w:val="left" w:pos="500"/>
        </w:tabs>
        <w:ind w:left="170"/>
        <w:jc w:val="both"/>
        <w:rPr>
          <w:rFonts w:eastAsia="Times New Roman"/>
        </w:rPr>
      </w:pPr>
    </w:p>
    <w:p w:rsidR="003F0889" w:rsidRPr="007139EB" w:rsidRDefault="003F0889" w:rsidP="003F0889">
      <w:pPr>
        <w:tabs>
          <w:tab w:val="left" w:pos="709"/>
        </w:tabs>
        <w:ind w:left="426"/>
        <w:jc w:val="both"/>
        <w:rPr>
          <w:rFonts w:eastAsia="Times New Roman"/>
        </w:rPr>
      </w:pPr>
      <w:r w:rsidRPr="007139EB">
        <w:rPr>
          <w:rFonts w:eastAsia="Times New Roman"/>
        </w:rPr>
        <w:t xml:space="preserve">- niewłaściwej jakości (zawyżona zawartość skrobi, obecność mięsa świni, kury oraz indyka nie deklarowanych w składzie, podmiana asortymentowa - ser </w:t>
      </w:r>
      <w:proofErr w:type="spellStart"/>
      <w:r w:rsidRPr="007139EB">
        <w:rPr>
          <w:rFonts w:eastAsia="Times New Roman"/>
        </w:rPr>
        <w:t>favita</w:t>
      </w:r>
      <w:proofErr w:type="spellEnd"/>
      <w:r w:rsidRPr="007139EB">
        <w:rPr>
          <w:rFonts w:eastAsia="Times New Roman"/>
        </w:rPr>
        <w:t xml:space="preserve"> zamiast deklarowanego w karcie sera feta, mix sałat zamiast deklarowanej sałaty lodowej, brak w składzie oliwek czarnych, niewłaściwe cechy organoleptyczne),</w:t>
      </w:r>
    </w:p>
    <w:p w:rsidR="003F0889" w:rsidRPr="00C9103A" w:rsidRDefault="003F0889" w:rsidP="003F0889">
      <w:pPr>
        <w:tabs>
          <w:tab w:val="left" w:pos="709"/>
        </w:tabs>
        <w:ind w:left="426"/>
        <w:jc w:val="both"/>
      </w:pPr>
      <w:r w:rsidRPr="007139EB">
        <w:rPr>
          <w:rFonts w:eastAsia="Times New Roman"/>
        </w:rPr>
        <w:t>- uchybień w oznakowaniu</w:t>
      </w:r>
      <w:r>
        <w:rPr>
          <w:rFonts w:eastAsia="Times New Roman"/>
        </w:rPr>
        <w:t xml:space="preserve"> (</w:t>
      </w:r>
      <w:r w:rsidRPr="009F306B">
        <w:rPr>
          <w:lang w:bidi="pl-PL"/>
        </w:rPr>
        <w:t>wykaz składników poprzedzony niewłaściwym nagłówkiem,</w:t>
      </w:r>
      <w:r>
        <w:rPr>
          <w:lang w:bidi="pl-PL"/>
        </w:rPr>
        <w:t xml:space="preserve"> </w:t>
      </w:r>
      <w:r w:rsidRPr="009F306B">
        <w:rPr>
          <w:lang w:bidi="pl-PL"/>
        </w:rPr>
        <w:t>wprowadzenie w błąd konsumenta co do rodzaju produktu,</w:t>
      </w:r>
      <w:r>
        <w:rPr>
          <w:lang w:bidi="pl-PL"/>
        </w:rPr>
        <w:t xml:space="preserve"> </w:t>
      </w:r>
      <w:r w:rsidRPr="009F306B">
        <w:t>podmian</w:t>
      </w:r>
      <w:r>
        <w:t xml:space="preserve">a asortymentowa - </w:t>
      </w:r>
      <w:r w:rsidRPr="009F306B">
        <w:t>brak mięsa baraniego w potrawie</w:t>
      </w:r>
      <w:r>
        <w:t xml:space="preserve"> zawierającej baraninę z wołowiną, </w:t>
      </w:r>
      <w:r w:rsidRPr="009F306B">
        <w:rPr>
          <w:lang w:bidi="pl-PL"/>
        </w:rPr>
        <w:t>brak informacji o alergenach w cenniku,</w:t>
      </w:r>
      <w:r>
        <w:t xml:space="preserve"> bądź </w:t>
      </w:r>
      <w:r>
        <w:rPr>
          <w:lang w:bidi="pl-PL"/>
        </w:rPr>
        <w:t>brak wyróżnienia substancji alergennych)</w:t>
      </w:r>
      <w:r w:rsidRPr="007139EB">
        <w:rPr>
          <w:rFonts w:eastAsia="Times New Roman"/>
        </w:rPr>
        <w:t>,</w:t>
      </w:r>
    </w:p>
    <w:p w:rsidR="003F0889" w:rsidRPr="007139EB" w:rsidRDefault="003F0889" w:rsidP="003F0889">
      <w:pPr>
        <w:ind w:left="426"/>
        <w:jc w:val="both"/>
        <w:rPr>
          <w:rFonts w:eastAsia="Times New Roman"/>
        </w:rPr>
      </w:pPr>
      <w:r w:rsidRPr="007139EB">
        <w:rPr>
          <w:rFonts w:eastAsia="Times New Roman"/>
        </w:rPr>
        <w:t>- oferowania do sprzedaży produktów przeterminowanych.</w:t>
      </w:r>
    </w:p>
    <w:p w:rsidR="003F0889" w:rsidRPr="007139EB" w:rsidRDefault="003F0889" w:rsidP="003F0889">
      <w:pPr>
        <w:jc w:val="both"/>
        <w:rPr>
          <w:rFonts w:eastAsia="Times New Roman"/>
          <w:b/>
        </w:rPr>
      </w:pPr>
    </w:p>
    <w:p w:rsidR="003F0889" w:rsidRPr="007139EB" w:rsidRDefault="003F0889" w:rsidP="003F0889">
      <w:pPr>
        <w:jc w:val="both"/>
        <w:rPr>
          <w:rFonts w:eastAsia="Times New Roman"/>
        </w:rPr>
      </w:pPr>
      <w:r w:rsidRPr="007139EB">
        <w:rPr>
          <w:rFonts w:eastAsia="Times New Roman"/>
        </w:rPr>
        <w:t>Pozostałe nieprawidłowości dotyczyły:</w:t>
      </w:r>
    </w:p>
    <w:p w:rsidR="003F0889" w:rsidRPr="007139EB" w:rsidRDefault="003F0889" w:rsidP="003F0889">
      <w:pPr>
        <w:jc w:val="both"/>
        <w:rPr>
          <w:rFonts w:eastAsia="Times New Roman"/>
        </w:rPr>
      </w:pPr>
    </w:p>
    <w:p w:rsidR="003F0889" w:rsidRPr="007139EB" w:rsidRDefault="003F0889" w:rsidP="003F0889">
      <w:pPr>
        <w:numPr>
          <w:ilvl w:val="0"/>
          <w:numId w:val="30"/>
        </w:numPr>
        <w:jc w:val="both"/>
        <w:rPr>
          <w:rFonts w:eastAsia="Times New Roman"/>
        </w:rPr>
      </w:pPr>
      <w:r w:rsidRPr="007139EB">
        <w:rPr>
          <w:rFonts w:eastAsia="Times New Roman"/>
        </w:rPr>
        <w:t xml:space="preserve">naruszenia przepisów o obowiązku uwidaczniania cen, </w:t>
      </w:r>
    </w:p>
    <w:p w:rsidR="003F0889" w:rsidRPr="007139EB" w:rsidRDefault="003F0889" w:rsidP="003F0889">
      <w:pPr>
        <w:numPr>
          <w:ilvl w:val="0"/>
          <w:numId w:val="30"/>
        </w:numPr>
        <w:jc w:val="both"/>
        <w:rPr>
          <w:rFonts w:eastAsia="Times New Roman"/>
        </w:rPr>
      </w:pPr>
      <w:r w:rsidRPr="007139EB">
        <w:rPr>
          <w:rFonts w:eastAsia="Times New Roman"/>
        </w:rPr>
        <w:t>naruszenia przepisów ustawy „Prawo o miarach”,</w:t>
      </w:r>
    </w:p>
    <w:p w:rsidR="003F0889" w:rsidRPr="007139EB" w:rsidRDefault="003F0889" w:rsidP="003F0889">
      <w:pPr>
        <w:numPr>
          <w:ilvl w:val="0"/>
          <w:numId w:val="30"/>
        </w:numPr>
        <w:jc w:val="both"/>
        <w:rPr>
          <w:rFonts w:eastAsia="Times New Roman"/>
        </w:rPr>
      </w:pPr>
      <w:r w:rsidRPr="007139EB">
        <w:rPr>
          <w:rFonts w:eastAsia="Times New Roman"/>
        </w:rPr>
        <w:t>naruszenia przepisów sanitarnych,</w:t>
      </w:r>
    </w:p>
    <w:p w:rsidR="003F0889" w:rsidRPr="007139EB" w:rsidRDefault="003F0889" w:rsidP="003F0889">
      <w:pPr>
        <w:numPr>
          <w:ilvl w:val="0"/>
          <w:numId w:val="30"/>
        </w:numPr>
        <w:jc w:val="both"/>
        <w:rPr>
          <w:rFonts w:eastAsia="Times New Roman"/>
        </w:rPr>
      </w:pPr>
      <w:r w:rsidRPr="007139EB">
        <w:rPr>
          <w:rFonts w:eastAsia="Times New Roman"/>
        </w:rPr>
        <w:t xml:space="preserve">naruszenia przepisów ustawy o wychowaniu w trzeźwości i przeciwdziałaniu   alkoholizmowi, </w:t>
      </w:r>
    </w:p>
    <w:p w:rsidR="003F0889" w:rsidRPr="007139EB" w:rsidRDefault="003F0889" w:rsidP="003F0889">
      <w:pPr>
        <w:numPr>
          <w:ilvl w:val="0"/>
          <w:numId w:val="30"/>
        </w:numPr>
        <w:jc w:val="both"/>
        <w:rPr>
          <w:rFonts w:eastAsia="Times New Roman"/>
        </w:rPr>
      </w:pPr>
      <w:r w:rsidRPr="007139EB">
        <w:rPr>
          <w:rFonts w:eastAsia="Times New Roman"/>
        </w:rPr>
        <w:t>oszustwa na wadze i cenie,</w:t>
      </w:r>
    </w:p>
    <w:p w:rsidR="003F0889" w:rsidRPr="007139EB" w:rsidRDefault="003F0889" w:rsidP="003F0889">
      <w:pPr>
        <w:numPr>
          <w:ilvl w:val="0"/>
          <w:numId w:val="30"/>
        </w:numPr>
        <w:jc w:val="both"/>
        <w:rPr>
          <w:rFonts w:eastAsia="Times New Roman"/>
        </w:rPr>
      </w:pPr>
      <w:r w:rsidRPr="007139EB">
        <w:rPr>
          <w:rFonts w:eastAsia="Times New Roman"/>
        </w:rPr>
        <w:t>oferowania do sprzedaży napojów alkoholowych bez posiadania zezwoleń.</w:t>
      </w:r>
    </w:p>
    <w:p w:rsidR="003F0889" w:rsidRPr="007139EB" w:rsidRDefault="003F0889" w:rsidP="003F0889">
      <w:pPr>
        <w:jc w:val="both"/>
        <w:rPr>
          <w:rFonts w:eastAsia="Times New Roman"/>
        </w:rPr>
      </w:pPr>
    </w:p>
    <w:p w:rsidR="003F0889" w:rsidRPr="007139EB" w:rsidRDefault="003F0889" w:rsidP="003F0889">
      <w:pPr>
        <w:ind w:firstLine="567"/>
        <w:jc w:val="both"/>
        <w:rPr>
          <w:rFonts w:eastAsia="Times New Roman"/>
        </w:rPr>
      </w:pPr>
      <w:r w:rsidRPr="007139EB">
        <w:rPr>
          <w:rFonts w:eastAsia="Times New Roman"/>
        </w:rPr>
        <w:t>Podczas 51 kontroli, w toku których sprawdzano przestrzeganie przepisów dotyczących cen, nieprawidłowości ujawniono w 26 placówkach, co stanowi 51% skontrolowanych jednostek. Uchybienia dotyczyły:</w:t>
      </w:r>
    </w:p>
    <w:p w:rsidR="003F0889" w:rsidRPr="007139EB" w:rsidRDefault="003F0889" w:rsidP="003F0889">
      <w:pPr>
        <w:ind w:firstLine="567"/>
        <w:jc w:val="both"/>
        <w:rPr>
          <w:rFonts w:eastAsia="Times New Roman"/>
        </w:rPr>
      </w:pPr>
    </w:p>
    <w:p w:rsidR="003F0889" w:rsidRPr="007139EB" w:rsidRDefault="003F0889" w:rsidP="003F0889">
      <w:pPr>
        <w:numPr>
          <w:ilvl w:val="0"/>
          <w:numId w:val="29"/>
        </w:numPr>
        <w:jc w:val="both"/>
        <w:rPr>
          <w:rFonts w:eastAsia="Times New Roman"/>
        </w:rPr>
      </w:pPr>
      <w:r w:rsidRPr="007139EB">
        <w:rPr>
          <w:rFonts w:eastAsia="Times New Roman"/>
        </w:rPr>
        <w:t>nieprzestrzegania przepisów o cenach – w 17 placówkach,</w:t>
      </w:r>
    </w:p>
    <w:p w:rsidR="003F0889" w:rsidRPr="007139EB" w:rsidRDefault="003F0889" w:rsidP="003F0889">
      <w:pPr>
        <w:numPr>
          <w:ilvl w:val="0"/>
          <w:numId w:val="29"/>
        </w:numPr>
        <w:jc w:val="both"/>
        <w:rPr>
          <w:rFonts w:eastAsia="Times New Roman"/>
        </w:rPr>
      </w:pPr>
      <w:r w:rsidRPr="007139EB">
        <w:rPr>
          <w:rFonts w:eastAsia="Times New Roman"/>
        </w:rPr>
        <w:t>oferowania do sprzedaży surowców po upływie terminów przydatności do spożycia – w 13 placówkach,</w:t>
      </w:r>
    </w:p>
    <w:p w:rsidR="003F0889" w:rsidRPr="007139EB" w:rsidRDefault="003F0889" w:rsidP="003F0889">
      <w:pPr>
        <w:numPr>
          <w:ilvl w:val="0"/>
          <w:numId w:val="29"/>
        </w:numPr>
        <w:jc w:val="both"/>
        <w:rPr>
          <w:rFonts w:eastAsia="Times New Roman"/>
        </w:rPr>
      </w:pPr>
      <w:r w:rsidRPr="007139EB">
        <w:rPr>
          <w:rFonts w:eastAsia="Times New Roman"/>
        </w:rPr>
        <w:t>towarów nieprawidłowo oznakowanych – w 1 placówce.</w:t>
      </w:r>
    </w:p>
    <w:p w:rsidR="003F0889" w:rsidRPr="007139EB" w:rsidRDefault="003F0889" w:rsidP="003F0889">
      <w:pPr>
        <w:jc w:val="both"/>
        <w:rPr>
          <w:rFonts w:eastAsia="Times New Roman"/>
        </w:rPr>
      </w:pPr>
      <w:r w:rsidRPr="007139EB">
        <w:rPr>
          <w:rFonts w:eastAsia="Times New Roman"/>
          <w:b/>
        </w:rPr>
        <w:t xml:space="preserve">                                                           </w:t>
      </w:r>
    </w:p>
    <w:p w:rsidR="003F0889" w:rsidRPr="007139EB" w:rsidRDefault="003F0889" w:rsidP="003F0889">
      <w:pPr>
        <w:ind w:firstLine="567"/>
        <w:jc w:val="both"/>
        <w:rPr>
          <w:rFonts w:eastAsia="Times New Roman"/>
        </w:rPr>
      </w:pPr>
      <w:r w:rsidRPr="007139EB">
        <w:rPr>
          <w:rFonts w:eastAsia="Times New Roman"/>
        </w:rPr>
        <w:t>W trakcie 18 kontroli prawidłowości funkcjonowania placówek piekarniczo - cukierniczych, nieprawidłowości stwierdzono w 11 placówkach, co stanowi 61% kontrolowanych jednostek.  Uchybienia dotyczyły:</w:t>
      </w:r>
    </w:p>
    <w:p w:rsidR="003F0889" w:rsidRPr="007139EB" w:rsidRDefault="003F0889" w:rsidP="003F0889">
      <w:pPr>
        <w:ind w:firstLine="567"/>
        <w:jc w:val="both"/>
        <w:rPr>
          <w:rFonts w:eastAsia="Times New Roman"/>
        </w:rPr>
      </w:pPr>
    </w:p>
    <w:p w:rsidR="003F0889" w:rsidRPr="007139EB" w:rsidRDefault="003F0889" w:rsidP="003F0889">
      <w:pPr>
        <w:numPr>
          <w:ilvl w:val="0"/>
          <w:numId w:val="28"/>
        </w:numPr>
        <w:jc w:val="both"/>
        <w:rPr>
          <w:rFonts w:eastAsia="Times New Roman"/>
        </w:rPr>
      </w:pPr>
      <w:r w:rsidRPr="007139EB">
        <w:rPr>
          <w:rFonts w:eastAsia="Times New Roman"/>
        </w:rPr>
        <w:lastRenderedPageBreak/>
        <w:t>stosowania narzędzi pomiarowych z nieaktualnymi lub nieczytelnymi dowodami legalizacji - w 7 placówkach,</w:t>
      </w:r>
    </w:p>
    <w:p w:rsidR="003F0889" w:rsidRPr="007139EB" w:rsidRDefault="003F0889" w:rsidP="003F0889">
      <w:pPr>
        <w:numPr>
          <w:ilvl w:val="0"/>
          <w:numId w:val="28"/>
        </w:numPr>
        <w:jc w:val="both"/>
        <w:rPr>
          <w:rFonts w:eastAsia="Times New Roman"/>
        </w:rPr>
      </w:pPr>
      <w:r w:rsidRPr="007139EB">
        <w:rPr>
          <w:rFonts w:eastAsia="Times New Roman"/>
        </w:rPr>
        <w:t>towarów nieprawidłowo oznakowanych – w 7 placówkach.</w:t>
      </w:r>
    </w:p>
    <w:p w:rsidR="003F0889" w:rsidRPr="007139EB" w:rsidRDefault="003F0889" w:rsidP="003F0889">
      <w:pPr>
        <w:ind w:firstLine="567"/>
        <w:jc w:val="both"/>
        <w:rPr>
          <w:rFonts w:eastAsia="Times New Roman"/>
        </w:rPr>
      </w:pPr>
    </w:p>
    <w:p w:rsidR="003F0889" w:rsidRPr="007139EB" w:rsidRDefault="003F0889" w:rsidP="003F0889">
      <w:pPr>
        <w:ind w:firstLine="720"/>
        <w:jc w:val="both"/>
        <w:rPr>
          <w:rFonts w:eastAsia="Times New Roman"/>
        </w:rPr>
      </w:pPr>
      <w:r w:rsidRPr="007139EB">
        <w:rPr>
          <w:rFonts w:eastAsia="Times New Roman"/>
        </w:rPr>
        <w:t>W wyniku 132 kontroli prawidłowości funkcjonowania placówek wiejskich, nieprawidłowości ujawniono w 96 placówkach (73%).  Dotyczyły one:</w:t>
      </w:r>
    </w:p>
    <w:p w:rsidR="003F0889" w:rsidRPr="007139EB" w:rsidRDefault="003F0889" w:rsidP="003F0889">
      <w:pPr>
        <w:ind w:firstLine="720"/>
        <w:jc w:val="both"/>
        <w:rPr>
          <w:rFonts w:eastAsia="Times New Roman"/>
        </w:rPr>
      </w:pPr>
    </w:p>
    <w:p w:rsidR="003F0889" w:rsidRPr="007139EB" w:rsidRDefault="003F0889" w:rsidP="003F0889">
      <w:pPr>
        <w:numPr>
          <w:ilvl w:val="0"/>
          <w:numId w:val="27"/>
        </w:numPr>
        <w:jc w:val="both"/>
        <w:rPr>
          <w:rFonts w:eastAsia="Times New Roman"/>
        </w:rPr>
      </w:pPr>
      <w:r w:rsidRPr="007139EB">
        <w:rPr>
          <w:rFonts w:eastAsia="Times New Roman"/>
        </w:rPr>
        <w:t>oferowania do sprzedaży artykułów spożywczych po upływie terminu przydatności do spożycia bądź daty minimalnej trwałości – w 67 placówkach,</w:t>
      </w:r>
    </w:p>
    <w:p w:rsidR="003F0889" w:rsidRPr="007139EB" w:rsidRDefault="003F0889" w:rsidP="003F0889">
      <w:pPr>
        <w:numPr>
          <w:ilvl w:val="0"/>
          <w:numId w:val="27"/>
        </w:numPr>
        <w:jc w:val="both"/>
        <w:rPr>
          <w:rFonts w:eastAsia="Times New Roman"/>
        </w:rPr>
      </w:pPr>
      <w:r w:rsidRPr="007139EB">
        <w:rPr>
          <w:rFonts w:eastAsia="Times New Roman"/>
        </w:rPr>
        <w:t>stosowania narzędzi pomiarowych z wygasłymi dowodami legalizacji - w 57 placówkach.</w:t>
      </w:r>
    </w:p>
    <w:p w:rsidR="003F0889" w:rsidRPr="007139EB" w:rsidRDefault="003F0889" w:rsidP="003F0889">
      <w:pPr>
        <w:jc w:val="both"/>
        <w:rPr>
          <w:rFonts w:eastAsia="Times New Roman"/>
        </w:rPr>
      </w:pPr>
    </w:p>
    <w:p w:rsidR="003F0889" w:rsidRPr="007139EB" w:rsidRDefault="003F0889" w:rsidP="003F0889">
      <w:pPr>
        <w:ind w:firstLine="567"/>
        <w:jc w:val="both"/>
        <w:rPr>
          <w:rFonts w:eastAsia="Times New Roman"/>
        </w:rPr>
      </w:pPr>
      <w:r w:rsidRPr="007139EB">
        <w:rPr>
          <w:rFonts w:eastAsia="Times New Roman"/>
        </w:rPr>
        <w:t>W trakcie 30 kontroli prawidłowości oznakowania produktów oferowanych luzem w placówkach handlu detalicznego, nieprawidłowości stwierdzono w 17 placówkach, co stanowi 57% kontrolowanych jednostek.  Uchybienia dotyczyły:</w:t>
      </w:r>
    </w:p>
    <w:p w:rsidR="003F0889" w:rsidRPr="007139EB" w:rsidRDefault="003F0889" w:rsidP="003F0889">
      <w:pPr>
        <w:ind w:firstLine="567"/>
        <w:jc w:val="both"/>
        <w:rPr>
          <w:rFonts w:eastAsia="Times New Roman"/>
        </w:rPr>
      </w:pPr>
    </w:p>
    <w:p w:rsidR="003F0889" w:rsidRPr="007139EB" w:rsidRDefault="003F0889" w:rsidP="003F0889">
      <w:pPr>
        <w:numPr>
          <w:ilvl w:val="0"/>
          <w:numId w:val="26"/>
        </w:numPr>
        <w:jc w:val="both"/>
        <w:rPr>
          <w:rFonts w:eastAsia="Times New Roman"/>
        </w:rPr>
      </w:pPr>
      <w:r w:rsidRPr="007139EB">
        <w:rPr>
          <w:rFonts w:eastAsia="Times New Roman"/>
        </w:rPr>
        <w:t>stosowania narzędzi pomiarowych z nieaktualnymi cechami legalizacji - w 10 placówkach,</w:t>
      </w:r>
    </w:p>
    <w:p w:rsidR="003F0889" w:rsidRPr="007139EB" w:rsidRDefault="003F0889" w:rsidP="003F0889">
      <w:pPr>
        <w:numPr>
          <w:ilvl w:val="0"/>
          <w:numId w:val="26"/>
        </w:numPr>
        <w:jc w:val="both"/>
        <w:rPr>
          <w:rFonts w:eastAsia="Times New Roman"/>
        </w:rPr>
      </w:pPr>
      <w:r w:rsidRPr="007139EB">
        <w:rPr>
          <w:rFonts w:eastAsia="Times New Roman"/>
        </w:rPr>
        <w:t>oferowania do sprzedaży artykułów spożywczych po upływie terminu przydatności do spożycia bądź daty minimalnej trwałości – w 3 placówkach,</w:t>
      </w:r>
    </w:p>
    <w:p w:rsidR="003F0889" w:rsidRPr="007139EB" w:rsidRDefault="003F0889" w:rsidP="003F0889">
      <w:pPr>
        <w:numPr>
          <w:ilvl w:val="0"/>
          <w:numId w:val="26"/>
        </w:numPr>
        <w:jc w:val="both"/>
        <w:rPr>
          <w:rFonts w:eastAsia="Times New Roman"/>
        </w:rPr>
      </w:pPr>
      <w:r w:rsidRPr="007139EB">
        <w:rPr>
          <w:rFonts w:eastAsia="Times New Roman"/>
        </w:rPr>
        <w:t>niewłaściwego oznaczenia towarów – w 9 placówkach.</w:t>
      </w:r>
    </w:p>
    <w:p w:rsidR="003F0889" w:rsidRPr="007139EB" w:rsidRDefault="003F0889" w:rsidP="003F0889">
      <w:pPr>
        <w:ind w:firstLine="567"/>
        <w:jc w:val="both"/>
        <w:rPr>
          <w:rFonts w:eastAsia="Times New Roman"/>
        </w:rPr>
      </w:pPr>
    </w:p>
    <w:p w:rsidR="003F0889" w:rsidRPr="007139EB" w:rsidRDefault="003F0889" w:rsidP="003F0889">
      <w:pPr>
        <w:ind w:firstLine="567"/>
        <w:jc w:val="both"/>
        <w:rPr>
          <w:rFonts w:eastAsia="Times New Roman"/>
        </w:rPr>
      </w:pPr>
      <w:r w:rsidRPr="007139EB">
        <w:rPr>
          <w:rFonts w:eastAsia="Times New Roman"/>
        </w:rPr>
        <w:t>W trakcie 35 kontroli prawidłowości funkcjonowania sklepów w miejscowościach turystycznych, uchybienia stwierdzono w 19 placówkach, co stanowi 54,3 % kontrolowanych jednostek.  Uchybienia dotyczyły:</w:t>
      </w:r>
    </w:p>
    <w:p w:rsidR="003F0889" w:rsidRPr="007139EB" w:rsidRDefault="003F0889" w:rsidP="003F0889">
      <w:pPr>
        <w:numPr>
          <w:ilvl w:val="0"/>
          <w:numId w:val="25"/>
        </w:numPr>
        <w:jc w:val="both"/>
        <w:rPr>
          <w:rFonts w:eastAsia="Times New Roman"/>
        </w:rPr>
      </w:pPr>
      <w:r w:rsidRPr="007139EB">
        <w:rPr>
          <w:rFonts w:eastAsia="Times New Roman"/>
        </w:rPr>
        <w:t>stosowania narzędzi pomiarowych z nieaktualnymi cechami legalizacji - w 15 placówkach,</w:t>
      </w:r>
    </w:p>
    <w:p w:rsidR="003F0889" w:rsidRPr="007139EB" w:rsidRDefault="003F0889" w:rsidP="003F0889">
      <w:pPr>
        <w:numPr>
          <w:ilvl w:val="0"/>
          <w:numId w:val="25"/>
        </w:numPr>
        <w:jc w:val="both"/>
        <w:rPr>
          <w:rFonts w:eastAsia="Times New Roman"/>
        </w:rPr>
      </w:pPr>
      <w:r w:rsidRPr="007139EB">
        <w:rPr>
          <w:rFonts w:eastAsia="Times New Roman"/>
        </w:rPr>
        <w:t>oferowania do sprzedaży artykułów spożywczych po upływie terminu przydatności do spożycia bądź daty minimalnej trwałości – w 7 placówkach.</w:t>
      </w:r>
    </w:p>
    <w:p w:rsidR="003F0889" w:rsidRPr="007139EB" w:rsidRDefault="003F0889" w:rsidP="003F0889">
      <w:pPr>
        <w:ind w:firstLine="567"/>
        <w:jc w:val="both"/>
        <w:rPr>
          <w:rFonts w:eastAsia="Times New Roman"/>
        </w:rPr>
      </w:pPr>
    </w:p>
    <w:p w:rsidR="003F0889" w:rsidRPr="007139EB" w:rsidRDefault="003F0889" w:rsidP="003F0889">
      <w:pPr>
        <w:ind w:firstLine="708"/>
        <w:jc w:val="both"/>
        <w:rPr>
          <w:rFonts w:eastAsia="Times New Roman"/>
        </w:rPr>
      </w:pPr>
      <w:r w:rsidRPr="007139EB">
        <w:rPr>
          <w:rFonts w:eastAsia="Times New Roman"/>
        </w:rPr>
        <w:t>W trakcie 10 kontroli prawidłowości funkcjonowania placówek detalicznych i gastronomicznych w pobliżu przejść granicznych, nieprawidłowości stwierdzono w 8 placówkach, co stanowi 80% kontrolowanych jednostek.  Uchybienia dotyczyły:</w:t>
      </w:r>
    </w:p>
    <w:p w:rsidR="003F0889" w:rsidRPr="007139EB" w:rsidRDefault="003F0889" w:rsidP="003F0889">
      <w:pPr>
        <w:ind w:firstLine="567"/>
        <w:jc w:val="both"/>
        <w:rPr>
          <w:rFonts w:eastAsia="Times New Roman"/>
        </w:rPr>
      </w:pPr>
    </w:p>
    <w:p w:rsidR="003F0889" w:rsidRPr="007139EB" w:rsidRDefault="003F0889" w:rsidP="003F0889">
      <w:pPr>
        <w:numPr>
          <w:ilvl w:val="0"/>
          <w:numId w:val="24"/>
        </w:numPr>
        <w:jc w:val="both"/>
        <w:rPr>
          <w:rFonts w:eastAsia="Times New Roman"/>
        </w:rPr>
      </w:pPr>
      <w:r w:rsidRPr="007139EB">
        <w:rPr>
          <w:rFonts w:eastAsia="Times New Roman"/>
        </w:rPr>
        <w:t>oferowania do sprzedaży artykułów spożywczych po upływie terminu przydatności do spożycia bądź daty minimalnej trwałości – w 4 placówkach,</w:t>
      </w:r>
    </w:p>
    <w:p w:rsidR="003F0889" w:rsidRPr="007139EB" w:rsidRDefault="003F0889" w:rsidP="003F0889">
      <w:pPr>
        <w:numPr>
          <w:ilvl w:val="0"/>
          <w:numId w:val="24"/>
        </w:numPr>
        <w:jc w:val="both"/>
        <w:rPr>
          <w:rFonts w:eastAsia="Times New Roman"/>
        </w:rPr>
      </w:pPr>
      <w:r w:rsidRPr="007139EB">
        <w:rPr>
          <w:rFonts w:eastAsia="Times New Roman"/>
        </w:rPr>
        <w:t>stosowania narzędzi pomiarowych z wygasłymi dowodami legalizacji - w 6 placówkach.</w:t>
      </w:r>
    </w:p>
    <w:p w:rsidR="003F0889" w:rsidRPr="007139EB" w:rsidRDefault="003F0889" w:rsidP="003F0889">
      <w:pPr>
        <w:ind w:left="284"/>
        <w:jc w:val="both"/>
        <w:rPr>
          <w:rFonts w:eastAsia="Times New Roman"/>
        </w:rPr>
      </w:pPr>
    </w:p>
    <w:p w:rsidR="003F0889" w:rsidRPr="007139EB" w:rsidRDefault="003F0889" w:rsidP="003F0889">
      <w:pPr>
        <w:ind w:firstLine="567"/>
        <w:jc w:val="both"/>
        <w:rPr>
          <w:rFonts w:eastAsia="Times New Roman"/>
        </w:rPr>
      </w:pPr>
      <w:r w:rsidRPr="007139EB">
        <w:rPr>
          <w:rFonts w:eastAsia="Times New Roman"/>
        </w:rPr>
        <w:t xml:space="preserve">W trakcie 24 kontroli jakości i prawidłowości oznakowania wyrobów garmażeryjnych, </w:t>
      </w:r>
      <w:r w:rsidR="00C4624E">
        <w:rPr>
          <w:rFonts w:eastAsia="Times New Roman"/>
        </w:rPr>
        <w:t xml:space="preserve">uchybienia </w:t>
      </w:r>
      <w:r w:rsidRPr="007139EB">
        <w:rPr>
          <w:rFonts w:eastAsia="Times New Roman"/>
        </w:rPr>
        <w:t>stwierdzono w 11 placówkach, co stanowi 46% kontrolowanych jednostek.  Nieprawidłowości dotyczyły:</w:t>
      </w:r>
    </w:p>
    <w:p w:rsidR="003F0889" w:rsidRPr="007139EB" w:rsidRDefault="003F0889" w:rsidP="003F0889">
      <w:pPr>
        <w:ind w:firstLine="567"/>
        <w:jc w:val="both"/>
        <w:rPr>
          <w:rFonts w:eastAsia="Times New Roman"/>
        </w:rPr>
      </w:pPr>
    </w:p>
    <w:p w:rsidR="003F0889" w:rsidRPr="007139EB" w:rsidRDefault="003F0889" w:rsidP="003F0889">
      <w:pPr>
        <w:numPr>
          <w:ilvl w:val="0"/>
          <w:numId w:val="23"/>
        </w:numPr>
        <w:jc w:val="both"/>
        <w:rPr>
          <w:rFonts w:eastAsia="Times New Roman"/>
        </w:rPr>
      </w:pPr>
      <w:r w:rsidRPr="007139EB">
        <w:rPr>
          <w:rFonts w:eastAsia="Times New Roman"/>
        </w:rPr>
        <w:t>oferowania do sprzedaży produktów niewłaściwie oznaczonych – w 7 placówkach,</w:t>
      </w:r>
    </w:p>
    <w:p w:rsidR="003F0889" w:rsidRPr="00E9261A" w:rsidRDefault="003F0889" w:rsidP="003F0889">
      <w:pPr>
        <w:numPr>
          <w:ilvl w:val="0"/>
          <w:numId w:val="23"/>
        </w:numPr>
        <w:jc w:val="both"/>
        <w:rPr>
          <w:rFonts w:eastAsia="Times New Roman"/>
        </w:rPr>
      </w:pPr>
      <w:r w:rsidRPr="007139EB">
        <w:rPr>
          <w:rFonts w:eastAsia="Times New Roman"/>
        </w:rPr>
        <w:t xml:space="preserve">stosowania narzędzi pomiarowych z wygasłymi dowodami legalizacji - w 6 </w:t>
      </w:r>
      <w:r w:rsidRPr="00E9261A">
        <w:rPr>
          <w:rFonts w:eastAsia="Times New Roman"/>
        </w:rPr>
        <w:t>placówkach.</w:t>
      </w:r>
    </w:p>
    <w:p w:rsidR="003F0889" w:rsidRDefault="003F0889" w:rsidP="003F0889">
      <w:pPr>
        <w:tabs>
          <w:tab w:val="left" w:pos="709"/>
        </w:tabs>
        <w:ind w:left="709"/>
        <w:jc w:val="both"/>
        <w:rPr>
          <w:rFonts w:eastAsia="Times New Roman"/>
        </w:rPr>
      </w:pPr>
    </w:p>
    <w:p w:rsidR="00C4624E" w:rsidRDefault="00C4624E" w:rsidP="003F0889">
      <w:pPr>
        <w:tabs>
          <w:tab w:val="left" w:pos="709"/>
        </w:tabs>
        <w:ind w:left="709"/>
        <w:jc w:val="both"/>
        <w:rPr>
          <w:rFonts w:eastAsia="Times New Roman"/>
        </w:rPr>
      </w:pPr>
    </w:p>
    <w:p w:rsidR="00C4624E" w:rsidRDefault="00C4624E" w:rsidP="003F0889">
      <w:pPr>
        <w:tabs>
          <w:tab w:val="left" w:pos="709"/>
        </w:tabs>
        <w:ind w:left="709"/>
        <w:jc w:val="both"/>
        <w:rPr>
          <w:rFonts w:eastAsia="Times New Roman"/>
        </w:rPr>
      </w:pPr>
    </w:p>
    <w:p w:rsidR="00C4624E" w:rsidRDefault="00C4624E" w:rsidP="003F0889">
      <w:pPr>
        <w:tabs>
          <w:tab w:val="left" w:pos="709"/>
        </w:tabs>
        <w:ind w:left="709"/>
        <w:jc w:val="both"/>
        <w:rPr>
          <w:rFonts w:eastAsia="Times New Roman"/>
        </w:rPr>
      </w:pPr>
    </w:p>
    <w:p w:rsidR="00C4624E" w:rsidRDefault="00C4624E" w:rsidP="003F0889">
      <w:pPr>
        <w:tabs>
          <w:tab w:val="left" w:pos="709"/>
        </w:tabs>
        <w:ind w:left="709"/>
        <w:jc w:val="both"/>
        <w:rPr>
          <w:rFonts w:eastAsia="Times New Roman"/>
        </w:rPr>
      </w:pPr>
    </w:p>
    <w:p w:rsidR="00C4624E" w:rsidRPr="00E9261A" w:rsidRDefault="00C4624E" w:rsidP="003F0889">
      <w:pPr>
        <w:tabs>
          <w:tab w:val="left" w:pos="709"/>
        </w:tabs>
        <w:ind w:left="709"/>
        <w:jc w:val="both"/>
        <w:rPr>
          <w:rFonts w:eastAsia="Times New Roman"/>
        </w:rPr>
      </w:pPr>
    </w:p>
    <w:p w:rsidR="00FC1CD2" w:rsidRPr="00E9261A" w:rsidRDefault="00FC1CD2" w:rsidP="00FC1CD2">
      <w:pPr>
        <w:jc w:val="both"/>
        <w:rPr>
          <w:b/>
        </w:rPr>
      </w:pPr>
      <w:r w:rsidRPr="00E9261A">
        <w:rPr>
          <w:b/>
        </w:rPr>
        <w:lastRenderedPageBreak/>
        <w:t>6. Kontrole interwencyjne</w:t>
      </w:r>
    </w:p>
    <w:p w:rsidR="00522090" w:rsidRPr="00E9261A" w:rsidRDefault="00522090" w:rsidP="00FC1CD2">
      <w:pPr>
        <w:jc w:val="both"/>
        <w:rPr>
          <w:b/>
        </w:rPr>
      </w:pPr>
    </w:p>
    <w:p w:rsidR="00B979E6" w:rsidRPr="0055053F" w:rsidRDefault="00551E3D" w:rsidP="004F0AB7">
      <w:pPr>
        <w:ind w:firstLine="708"/>
        <w:jc w:val="both"/>
        <w:rPr>
          <w:szCs w:val="28"/>
        </w:rPr>
      </w:pPr>
      <w:r w:rsidRPr="00E9261A">
        <w:rPr>
          <w:szCs w:val="28"/>
        </w:rPr>
        <w:t>Poza  planowymi, Inspektorat podejmował także doraźne kontrole  interwencyjne</w:t>
      </w:r>
      <w:r w:rsidR="00EC1263" w:rsidRPr="00E9261A">
        <w:rPr>
          <w:szCs w:val="28"/>
        </w:rPr>
        <w:t xml:space="preserve"> w </w:t>
      </w:r>
      <w:r w:rsidR="00EC1263" w:rsidRPr="0055053F">
        <w:rPr>
          <w:szCs w:val="28"/>
        </w:rPr>
        <w:t>zakresie ochrony interesów konsumentów w handlu, gastronomii i usługach</w:t>
      </w:r>
      <w:r w:rsidR="00451ADB" w:rsidRPr="0055053F">
        <w:rPr>
          <w:szCs w:val="28"/>
        </w:rPr>
        <w:t>.</w:t>
      </w:r>
    </w:p>
    <w:p w:rsidR="004F0AB7" w:rsidRPr="0055053F" w:rsidRDefault="0055053F" w:rsidP="00B979E6">
      <w:pPr>
        <w:ind w:firstLine="708"/>
        <w:jc w:val="both"/>
        <w:rPr>
          <w:szCs w:val="28"/>
        </w:rPr>
      </w:pPr>
      <w:r w:rsidRPr="0055053F">
        <w:rPr>
          <w:szCs w:val="28"/>
        </w:rPr>
        <w:t>W 2016</w:t>
      </w:r>
      <w:r w:rsidR="00AF339F" w:rsidRPr="0055053F">
        <w:rPr>
          <w:szCs w:val="28"/>
        </w:rPr>
        <w:t xml:space="preserve"> r. przeprowadzono łącznie </w:t>
      </w:r>
      <w:r w:rsidRPr="0055053F">
        <w:rPr>
          <w:szCs w:val="28"/>
        </w:rPr>
        <w:t>445</w:t>
      </w:r>
      <w:r w:rsidR="00AF339F" w:rsidRPr="0055053F">
        <w:rPr>
          <w:szCs w:val="28"/>
        </w:rPr>
        <w:t xml:space="preserve"> kontroli interwencyjnych </w:t>
      </w:r>
      <w:r w:rsidRPr="0055053F">
        <w:rPr>
          <w:szCs w:val="28"/>
        </w:rPr>
        <w:t xml:space="preserve"> (o 18</w:t>
      </w:r>
      <w:r w:rsidR="00AF339F" w:rsidRPr="0055053F">
        <w:rPr>
          <w:szCs w:val="28"/>
        </w:rPr>
        <w:t>% mnie</w:t>
      </w:r>
      <w:r w:rsidR="00101D40" w:rsidRPr="0055053F">
        <w:rPr>
          <w:szCs w:val="28"/>
        </w:rPr>
        <w:t>j niż w poprzednim okresie sprawozdawczym), z czego</w:t>
      </w:r>
      <w:r w:rsidR="004D2FF8" w:rsidRPr="0055053F">
        <w:rPr>
          <w:szCs w:val="28"/>
        </w:rPr>
        <w:t xml:space="preserve"> </w:t>
      </w:r>
      <w:r w:rsidRPr="0055053F">
        <w:rPr>
          <w:szCs w:val="28"/>
        </w:rPr>
        <w:t>373</w:t>
      </w:r>
      <w:r w:rsidR="00101D40" w:rsidRPr="0055053F">
        <w:rPr>
          <w:szCs w:val="28"/>
        </w:rPr>
        <w:t xml:space="preserve"> w obszarze artykułów rolno-</w:t>
      </w:r>
      <w:r w:rsidR="00AF339F" w:rsidRPr="0055053F">
        <w:rPr>
          <w:szCs w:val="28"/>
        </w:rPr>
        <w:t xml:space="preserve">spożywczych i </w:t>
      </w:r>
      <w:r w:rsidRPr="0055053F">
        <w:rPr>
          <w:szCs w:val="28"/>
        </w:rPr>
        <w:t>72</w:t>
      </w:r>
      <w:r w:rsidR="00101D40" w:rsidRPr="0055053F">
        <w:rPr>
          <w:szCs w:val="28"/>
        </w:rPr>
        <w:t xml:space="preserve"> w obszarze artykułów przemysłowych i usług.</w:t>
      </w:r>
      <w:r w:rsidR="00451ADB" w:rsidRPr="0055053F">
        <w:rPr>
          <w:szCs w:val="28"/>
        </w:rPr>
        <w:t xml:space="preserve"> </w:t>
      </w:r>
      <w:r w:rsidRPr="0055053F">
        <w:rPr>
          <w:szCs w:val="28"/>
        </w:rPr>
        <w:t>Przez UOKiK zostało zleconych 28</w:t>
      </w:r>
      <w:r w:rsidR="006225F4" w:rsidRPr="0055053F">
        <w:rPr>
          <w:szCs w:val="28"/>
        </w:rPr>
        <w:t xml:space="preserve"> kontroli</w:t>
      </w:r>
      <w:r w:rsidR="00711C6E" w:rsidRPr="0055053F">
        <w:rPr>
          <w:szCs w:val="28"/>
        </w:rPr>
        <w:t>.</w:t>
      </w:r>
    </w:p>
    <w:p w:rsidR="004F0AB7" w:rsidRPr="0055053F" w:rsidRDefault="004F0AB7" w:rsidP="004F0AB7">
      <w:pPr>
        <w:ind w:firstLine="720"/>
        <w:jc w:val="both"/>
        <w:rPr>
          <w:szCs w:val="28"/>
        </w:rPr>
      </w:pPr>
      <w:r w:rsidRPr="0055053F">
        <w:rPr>
          <w:szCs w:val="28"/>
        </w:rPr>
        <w:t xml:space="preserve">Nieprawidłowości stwierdzono w trakcie </w:t>
      </w:r>
      <w:r w:rsidR="006225F4" w:rsidRPr="0055053F">
        <w:rPr>
          <w:b/>
          <w:szCs w:val="28"/>
        </w:rPr>
        <w:t>2</w:t>
      </w:r>
      <w:r w:rsidR="0055053F" w:rsidRPr="0055053F">
        <w:rPr>
          <w:b/>
          <w:szCs w:val="28"/>
        </w:rPr>
        <w:t>17</w:t>
      </w:r>
      <w:r w:rsidRPr="0055053F">
        <w:rPr>
          <w:szCs w:val="28"/>
        </w:rPr>
        <w:t xml:space="preserve"> kontroli, co stanowi ok. </w:t>
      </w:r>
      <w:r w:rsidR="0055053F" w:rsidRPr="0055053F">
        <w:rPr>
          <w:szCs w:val="28"/>
        </w:rPr>
        <w:t>49</w:t>
      </w:r>
      <w:r w:rsidRPr="0055053F">
        <w:rPr>
          <w:szCs w:val="28"/>
        </w:rPr>
        <w:t>%</w:t>
      </w:r>
      <w:r w:rsidR="007B7B71" w:rsidRPr="0055053F">
        <w:rPr>
          <w:szCs w:val="28"/>
        </w:rPr>
        <w:t xml:space="preserve"> wszystki</w:t>
      </w:r>
      <w:r w:rsidR="0055053F" w:rsidRPr="0055053F">
        <w:rPr>
          <w:szCs w:val="28"/>
        </w:rPr>
        <w:t>ch przeprowadzonych (w roku 2015</w:t>
      </w:r>
      <w:r w:rsidR="00E92807" w:rsidRPr="0055053F">
        <w:rPr>
          <w:szCs w:val="28"/>
        </w:rPr>
        <w:t xml:space="preserve"> wskaźnik ten wynosił </w:t>
      </w:r>
      <w:r w:rsidR="0055053F" w:rsidRPr="0055053F">
        <w:rPr>
          <w:szCs w:val="28"/>
        </w:rPr>
        <w:t>52</w:t>
      </w:r>
      <w:r w:rsidR="007B7B71" w:rsidRPr="0055053F">
        <w:rPr>
          <w:szCs w:val="28"/>
        </w:rPr>
        <w:t>%)</w:t>
      </w:r>
      <w:r w:rsidRPr="0055053F">
        <w:rPr>
          <w:szCs w:val="28"/>
        </w:rPr>
        <w:t>. Polegały one głównie na oferowaniu do sprzedaży produktów przeterminowanych oraz stosowania przyrządu pomiarowego z nieaktualną cechą legalizacji.</w:t>
      </w:r>
    </w:p>
    <w:p w:rsidR="00352AA1" w:rsidRDefault="00352AA1" w:rsidP="00A265E9">
      <w:pPr>
        <w:tabs>
          <w:tab w:val="num" w:pos="1440"/>
        </w:tabs>
        <w:jc w:val="both"/>
        <w:rPr>
          <w:rFonts w:ascii="Palatino Linotype" w:hAnsi="Palatino Linotype"/>
          <w:b/>
        </w:rPr>
      </w:pPr>
    </w:p>
    <w:p w:rsidR="00E9261A" w:rsidRPr="00986410" w:rsidRDefault="00E9261A" w:rsidP="00A265E9">
      <w:pPr>
        <w:tabs>
          <w:tab w:val="num" w:pos="1440"/>
        </w:tabs>
        <w:jc w:val="both"/>
        <w:rPr>
          <w:rFonts w:ascii="Palatino Linotype" w:hAnsi="Palatino Linotype"/>
          <w:b/>
        </w:rPr>
      </w:pPr>
    </w:p>
    <w:p w:rsidR="00EF3A53" w:rsidRDefault="00A874BC" w:rsidP="00A265E9">
      <w:pPr>
        <w:tabs>
          <w:tab w:val="num" w:pos="1440"/>
        </w:tabs>
        <w:jc w:val="both"/>
        <w:rPr>
          <w:b/>
        </w:rPr>
      </w:pPr>
      <w:r w:rsidRPr="00986410">
        <w:rPr>
          <w:b/>
        </w:rPr>
        <w:t>7</w:t>
      </w:r>
      <w:r w:rsidR="00A265E9" w:rsidRPr="00986410">
        <w:rPr>
          <w:b/>
        </w:rPr>
        <w:t xml:space="preserve">. </w:t>
      </w:r>
      <w:r w:rsidR="00EF3A53" w:rsidRPr="00986410">
        <w:rPr>
          <w:b/>
        </w:rPr>
        <w:t xml:space="preserve">Wykorzystanie wyników kontroli </w:t>
      </w:r>
    </w:p>
    <w:p w:rsidR="007E349D" w:rsidRPr="00986410" w:rsidRDefault="007E349D" w:rsidP="00A265E9">
      <w:pPr>
        <w:tabs>
          <w:tab w:val="num" w:pos="1440"/>
        </w:tabs>
        <w:jc w:val="both"/>
        <w:rPr>
          <w:b/>
        </w:rPr>
      </w:pPr>
    </w:p>
    <w:p w:rsidR="00B625E9" w:rsidRPr="00986410" w:rsidRDefault="00CA2857" w:rsidP="00451ADB">
      <w:pPr>
        <w:ind w:firstLine="709"/>
        <w:jc w:val="both"/>
      </w:pPr>
      <w:r w:rsidRPr="00986410">
        <w:t>U</w:t>
      </w:r>
      <w:r w:rsidR="00500B39" w:rsidRPr="00986410">
        <w:t xml:space="preserve">stalenia kontrolne </w:t>
      </w:r>
      <w:r w:rsidRPr="00986410">
        <w:t>dały podstawę do ukarania</w:t>
      </w:r>
      <w:r w:rsidR="00500B39" w:rsidRPr="00986410">
        <w:t xml:space="preserve"> </w:t>
      </w:r>
      <w:r w:rsidR="00F03098" w:rsidRPr="00986410">
        <w:t>łącznie</w:t>
      </w:r>
      <w:r w:rsidR="00A46F6A" w:rsidRPr="00986410">
        <w:t xml:space="preserve"> </w:t>
      </w:r>
      <w:r w:rsidR="00986410" w:rsidRPr="00986410">
        <w:rPr>
          <w:b/>
        </w:rPr>
        <w:t>339</w:t>
      </w:r>
      <w:r w:rsidR="00A46F6A" w:rsidRPr="00986410">
        <w:rPr>
          <w:b/>
        </w:rPr>
        <w:t xml:space="preserve"> </w:t>
      </w:r>
      <w:r w:rsidR="00F03098" w:rsidRPr="00986410">
        <w:t xml:space="preserve">sprawców wykroczeń </w:t>
      </w:r>
      <w:r w:rsidR="00500B39" w:rsidRPr="00986410">
        <w:t xml:space="preserve">grzywnami w drodze mandatów karnych na kwotę </w:t>
      </w:r>
      <w:r w:rsidR="00986410" w:rsidRPr="00986410">
        <w:rPr>
          <w:b/>
        </w:rPr>
        <w:t>45.29</w:t>
      </w:r>
      <w:r w:rsidR="00924E44" w:rsidRPr="00986410">
        <w:rPr>
          <w:b/>
        </w:rPr>
        <w:t>0</w:t>
      </w:r>
      <w:r w:rsidR="00500B39" w:rsidRPr="00986410">
        <w:rPr>
          <w:b/>
        </w:rPr>
        <w:t xml:space="preserve"> zł</w:t>
      </w:r>
      <w:r w:rsidR="00D32247" w:rsidRPr="00986410">
        <w:t>.</w:t>
      </w:r>
      <w:r w:rsidR="00500B39" w:rsidRPr="00986410">
        <w:t xml:space="preserve"> </w:t>
      </w:r>
      <w:r w:rsidR="0078791D" w:rsidRPr="00986410">
        <w:t xml:space="preserve"> </w:t>
      </w:r>
    </w:p>
    <w:p w:rsidR="00596B53" w:rsidRPr="00986410" w:rsidRDefault="00500B39" w:rsidP="00451ADB">
      <w:pPr>
        <w:ind w:firstLine="709"/>
        <w:jc w:val="both"/>
      </w:pPr>
      <w:r w:rsidRPr="00986410">
        <w:t xml:space="preserve">W stosunku do </w:t>
      </w:r>
      <w:r w:rsidR="00986410" w:rsidRPr="00986410">
        <w:rPr>
          <w:b/>
        </w:rPr>
        <w:t>22</w:t>
      </w:r>
      <w:r w:rsidRPr="00986410">
        <w:t xml:space="preserve"> sprawców wykroczeń zastosowano po</w:t>
      </w:r>
      <w:r w:rsidR="003F491A" w:rsidRPr="00986410">
        <w:t xml:space="preserve">uczenie </w:t>
      </w:r>
      <w:r w:rsidR="005E176F" w:rsidRPr="00986410">
        <w:t xml:space="preserve">na podstawie </w:t>
      </w:r>
      <w:r w:rsidR="005E176F" w:rsidRPr="00986410">
        <w:rPr>
          <w:b/>
        </w:rPr>
        <w:t>art. 41 kw</w:t>
      </w:r>
      <w:r w:rsidR="003F491A" w:rsidRPr="00986410">
        <w:t>.</w:t>
      </w:r>
    </w:p>
    <w:p w:rsidR="0029704C" w:rsidRPr="00986410" w:rsidRDefault="0029704C" w:rsidP="007E4AA4">
      <w:pPr>
        <w:jc w:val="both"/>
        <w:rPr>
          <w:rFonts w:ascii="Palatino Linotype" w:hAnsi="Palatino Linotype"/>
          <w:sz w:val="16"/>
          <w:szCs w:val="16"/>
        </w:rPr>
      </w:pPr>
    </w:p>
    <w:p w:rsidR="00B625E9" w:rsidRPr="00986410" w:rsidRDefault="00CA2857" w:rsidP="0034753A">
      <w:pPr>
        <w:ind w:firstLine="708"/>
        <w:jc w:val="both"/>
      </w:pPr>
      <w:r w:rsidRPr="00986410">
        <w:t xml:space="preserve">Do organów ścigania </w:t>
      </w:r>
      <w:r w:rsidR="009654E0" w:rsidRPr="00986410">
        <w:t>skierowano</w:t>
      </w:r>
      <w:r w:rsidR="00E155E9" w:rsidRPr="00986410">
        <w:rPr>
          <w:b/>
        </w:rPr>
        <w:t xml:space="preserve"> </w:t>
      </w:r>
      <w:r w:rsidR="00986410" w:rsidRPr="00986410">
        <w:rPr>
          <w:b/>
        </w:rPr>
        <w:t>14</w:t>
      </w:r>
      <w:r w:rsidR="00CF40D6" w:rsidRPr="00986410">
        <w:rPr>
          <w:b/>
        </w:rPr>
        <w:t xml:space="preserve"> </w:t>
      </w:r>
      <w:r w:rsidR="00986410" w:rsidRPr="00986410">
        <w:t>zawiadomień</w:t>
      </w:r>
      <w:r w:rsidR="00F1249C" w:rsidRPr="00986410">
        <w:t xml:space="preserve"> o uzasadnionym podejrzeniu popełnienia przestępstwa. Dotyczyły one </w:t>
      </w:r>
      <w:r w:rsidR="00471DD5" w:rsidRPr="00986410">
        <w:t xml:space="preserve">przestępstw </w:t>
      </w:r>
      <w:r w:rsidR="002D04A6" w:rsidRPr="00986410">
        <w:t xml:space="preserve">stwierdzonych w obszarze </w:t>
      </w:r>
      <w:r w:rsidR="00471DD5" w:rsidRPr="00986410">
        <w:t>systemu</w:t>
      </w:r>
      <w:r w:rsidR="00F1249C" w:rsidRPr="00986410">
        <w:t xml:space="preserve"> oceny zgodności i kontroli paliw.</w:t>
      </w:r>
      <w:r w:rsidR="001A17B6" w:rsidRPr="00986410">
        <w:t xml:space="preserve"> </w:t>
      </w:r>
    </w:p>
    <w:p w:rsidR="00E46AEE" w:rsidRPr="00986410" w:rsidRDefault="00E46AEE" w:rsidP="007E4AA4">
      <w:pPr>
        <w:jc w:val="both"/>
        <w:rPr>
          <w:rFonts w:ascii="Palatino Linotype" w:hAnsi="Palatino Linotype"/>
          <w:sz w:val="16"/>
          <w:szCs w:val="16"/>
        </w:rPr>
      </w:pPr>
    </w:p>
    <w:p w:rsidR="00500B39" w:rsidRPr="00986410" w:rsidRDefault="00590EB0" w:rsidP="0034753A">
      <w:pPr>
        <w:ind w:firstLine="708"/>
        <w:jc w:val="both"/>
      </w:pPr>
      <w:r w:rsidRPr="00986410">
        <w:t>W</w:t>
      </w:r>
      <w:r w:rsidR="00481EDF" w:rsidRPr="00986410">
        <w:t xml:space="preserve">ystosowano </w:t>
      </w:r>
      <w:r w:rsidR="007740A7" w:rsidRPr="00986410">
        <w:rPr>
          <w:b/>
        </w:rPr>
        <w:t>26</w:t>
      </w:r>
      <w:r w:rsidR="00986410" w:rsidRPr="00986410">
        <w:rPr>
          <w:b/>
        </w:rPr>
        <w:t>5</w:t>
      </w:r>
      <w:r w:rsidR="00500B39" w:rsidRPr="00986410">
        <w:t xml:space="preserve"> żąda</w:t>
      </w:r>
      <w:r w:rsidR="007740A7" w:rsidRPr="00986410">
        <w:t>ń</w:t>
      </w:r>
      <w:r w:rsidR="00533729" w:rsidRPr="00986410">
        <w:t xml:space="preserve"> o usunięcie stwierdzonych nieprawidłowości</w:t>
      </w:r>
      <w:r w:rsidR="00500B39" w:rsidRPr="00986410">
        <w:t xml:space="preserve">, w związku z którymi przedsiębiorcy podejmowali działania </w:t>
      </w:r>
      <w:r w:rsidR="004B0440" w:rsidRPr="00986410">
        <w:t xml:space="preserve">naprawcze </w:t>
      </w:r>
      <w:r w:rsidR="00481EDF" w:rsidRPr="00986410">
        <w:t>po</w:t>
      </w:r>
      <w:r w:rsidR="00500B39" w:rsidRPr="00986410">
        <w:t>przez:</w:t>
      </w:r>
    </w:p>
    <w:p w:rsidR="00500B39" w:rsidRPr="00986410" w:rsidRDefault="00500B39" w:rsidP="004670DB">
      <w:pPr>
        <w:numPr>
          <w:ilvl w:val="0"/>
          <w:numId w:val="7"/>
        </w:numPr>
        <w:jc w:val="both"/>
      </w:pPr>
      <w:r w:rsidRPr="00986410">
        <w:t>usunięcie nieprawidłowości związanych z niewłaściwym lub niepełnym oznakowaniem wyrobów,</w:t>
      </w:r>
    </w:p>
    <w:p w:rsidR="00500B39" w:rsidRPr="00986410" w:rsidRDefault="00500B39" w:rsidP="004670DB">
      <w:pPr>
        <w:numPr>
          <w:ilvl w:val="0"/>
          <w:numId w:val="7"/>
        </w:numPr>
        <w:jc w:val="both"/>
      </w:pPr>
      <w:r w:rsidRPr="00986410">
        <w:t>wzmocnienie</w:t>
      </w:r>
      <w:r w:rsidR="00107716" w:rsidRPr="00986410">
        <w:t xml:space="preserve"> nadzoru.</w:t>
      </w:r>
    </w:p>
    <w:p w:rsidR="003F491A" w:rsidRPr="007304F4" w:rsidRDefault="00FF4B35" w:rsidP="00FF4B35">
      <w:pPr>
        <w:tabs>
          <w:tab w:val="left" w:pos="720"/>
        </w:tabs>
        <w:jc w:val="both"/>
      </w:pPr>
      <w:r w:rsidRPr="007304F4">
        <w:tab/>
      </w:r>
    </w:p>
    <w:p w:rsidR="007304F4" w:rsidRPr="007304F4" w:rsidRDefault="007304F4" w:rsidP="007304F4">
      <w:pPr>
        <w:ind w:firstLine="708"/>
        <w:jc w:val="both"/>
        <w:rPr>
          <w:rFonts w:eastAsia="Times New Roman"/>
        </w:rPr>
      </w:pPr>
      <w:r w:rsidRPr="007304F4">
        <w:rPr>
          <w:rFonts w:eastAsia="Times New Roman"/>
        </w:rPr>
        <w:t>W wyniku działalności kontrolnej w 2016r. wydanych zostało 139 decyzji administracyjnych, z czego 115 dotyczyło nałożenia kar administracyjnych na łączną kwotę 105.750 zł, 22 kosztów badań laboratoryjnych na łączną kwotę 11.966 zł a 2 zostały wydane z art. 67a § 1 ordynacji podatkowej:</w:t>
      </w:r>
    </w:p>
    <w:p w:rsidR="007304F4" w:rsidRPr="007304F4" w:rsidRDefault="007304F4" w:rsidP="007304F4">
      <w:pPr>
        <w:ind w:firstLine="708"/>
        <w:jc w:val="both"/>
        <w:rPr>
          <w:rFonts w:eastAsia="Times New Roman"/>
        </w:rPr>
      </w:pPr>
      <w:r w:rsidRPr="007304F4">
        <w:rPr>
          <w:rFonts w:eastAsia="Times New Roman"/>
        </w:rPr>
        <w:t xml:space="preserve">70 - </w:t>
      </w:r>
      <w:r w:rsidRPr="007304F4">
        <w:rPr>
          <w:rFonts w:eastAsia="Times New Roman"/>
        </w:rPr>
        <w:tab/>
        <w:t>art. 6 ust. 1 ustawy o informowaniu o cenach towarów i usług.</w:t>
      </w:r>
      <w:r w:rsidRPr="007304F4">
        <w:rPr>
          <w:rFonts w:eastAsia="Times New Roman"/>
        </w:rPr>
        <w:tab/>
      </w:r>
      <w:r w:rsidRPr="007304F4">
        <w:rPr>
          <w:rFonts w:eastAsia="Times New Roman"/>
        </w:rPr>
        <w:tab/>
      </w:r>
    </w:p>
    <w:p w:rsidR="007304F4" w:rsidRPr="007304F4" w:rsidRDefault="007304F4" w:rsidP="007304F4">
      <w:pPr>
        <w:ind w:firstLine="708"/>
        <w:jc w:val="both"/>
        <w:rPr>
          <w:rFonts w:eastAsia="Times New Roman"/>
        </w:rPr>
      </w:pPr>
      <w:r w:rsidRPr="007304F4">
        <w:rPr>
          <w:rFonts w:eastAsia="Times New Roman"/>
        </w:rPr>
        <w:t xml:space="preserve">30 - </w:t>
      </w:r>
      <w:r w:rsidRPr="007304F4">
        <w:rPr>
          <w:rFonts w:eastAsia="Times New Roman"/>
        </w:rPr>
        <w:tab/>
        <w:t>art. 40a ust. 1 pkt 3 ustawy o jakości handlowej artykułów rolno-spożywczych.</w:t>
      </w:r>
    </w:p>
    <w:p w:rsidR="007304F4" w:rsidRPr="007304F4" w:rsidRDefault="007304F4" w:rsidP="007304F4">
      <w:pPr>
        <w:ind w:firstLine="708"/>
        <w:jc w:val="both"/>
        <w:rPr>
          <w:rFonts w:eastAsia="Times New Roman"/>
        </w:rPr>
      </w:pPr>
      <w:r w:rsidRPr="007304F4">
        <w:rPr>
          <w:rFonts w:eastAsia="Times New Roman"/>
        </w:rPr>
        <w:t xml:space="preserve">18 - </w:t>
      </w:r>
      <w:r w:rsidRPr="007304F4">
        <w:rPr>
          <w:rFonts w:eastAsia="Times New Roman"/>
        </w:rPr>
        <w:tab/>
        <w:t>art. 30 ust. 1 ustawy z dnia 15 grudnia 2000 r. o Inspekcji Handlowej.</w:t>
      </w:r>
      <w:r w:rsidRPr="007304F4">
        <w:rPr>
          <w:rFonts w:eastAsia="Times New Roman"/>
        </w:rPr>
        <w:tab/>
      </w:r>
    </w:p>
    <w:p w:rsidR="007304F4" w:rsidRPr="007304F4" w:rsidRDefault="007304F4" w:rsidP="007304F4">
      <w:pPr>
        <w:ind w:firstLine="708"/>
        <w:jc w:val="both"/>
        <w:rPr>
          <w:rFonts w:eastAsia="Times New Roman"/>
        </w:rPr>
      </w:pPr>
      <w:r w:rsidRPr="007304F4">
        <w:rPr>
          <w:rFonts w:eastAsia="Times New Roman"/>
        </w:rPr>
        <w:t xml:space="preserve">5 - </w:t>
      </w:r>
      <w:r w:rsidRPr="007304F4">
        <w:rPr>
          <w:rFonts w:eastAsia="Times New Roman"/>
        </w:rPr>
        <w:tab/>
        <w:t>art. 40a ust. 1 pkt 4 ustawy o jakości handlowej artykułów rolno-spożywczych.</w:t>
      </w:r>
    </w:p>
    <w:p w:rsidR="007304F4" w:rsidRPr="007304F4" w:rsidRDefault="007304F4" w:rsidP="007304F4">
      <w:pPr>
        <w:ind w:left="1413" w:hanging="705"/>
        <w:jc w:val="both"/>
        <w:rPr>
          <w:rFonts w:eastAsia="Times New Roman"/>
        </w:rPr>
      </w:pPr>
      <w:r w:rsidRPr="007304F4">
        <w:rPr>
          <w:rFonts w:eastAsia="Times New Roman"/>
        </w:rPr>
        <w:t xml:space="preserve">3 - </w:t>
      </w:r>
      <w:r w:rsidRPr="007304F4">
        <w:rPr>
          <w:rFonts w:eastAsia="Times New Roman"/>
        </w:rPr>
        <w:tab/>
        <w:t>art. 17 ust. 1 ustawy obowiązkach w zakresie informowania o zużyciu energii przez produkty wykorzystujące energię.</w:t>
      </w:r>
      <w:r w:rsidRPr="007304F4">
        <w:rPr>
          <w:rFonts w:eastAsia="Times New Roman"/>
        </w:rPr>
        <w:tab/>
      </w:r>
      <w:r w:rsidRPr="007304F4">
        <w:rPr>
          <w:rFonts w:eastAsia="Times New Roman"/>
        </w:rPr>
        <w:tab/>
      </w:r>
    </w:p>
    <w:p w:rsidR="007304F4" w:rsidRPr="007304F4" w:rsidRDefault="007304F4" w:rsidP="007304F4">
      <w:pPr>
        <w:ind w:firstLine="708"/>
        <w:jc w:val="both"/>
        <w:rPr>
          <w:rFonts w:eastAsia="Times New Roman"/>
        </w:rPr>
      </w:pPr>
      <w:r w:rsidRPr="007304F4">
        <w:rPr>
          <w:rFonts w:eastAsia="Times New Roman"/>
        </w:rPr>
        <w:t xml:space="preserve">3 - </w:t>
      </w:r>
      <w:r w:rsidRPr="007304F4">
        <w:rPr>
          <w:rFonts w:eastAsia="Times New Roman"/>
        </w:rPr>
        <w:tab/>
        <w:t>art. 40j ust. 1 i 2 ustawy o systemie oceny zgodności.</w:t>
      </w:r>
      <w:r w:rsidRPr="007304F4">
        <w:rPr>
          <w:rFonts w:eastAsia="Times New Roman"/>
        </w:rPr>
        <w:tab/>
      </w:r>
      <w:r w:rsidRPr="007304F4">
        <w:rPr>
          <w:rFonts w:eastAsia="Times New Roman"/>
        </w:rPr>
        <w:tab/>
      </w:r>
      <w:r w:rsidRPr="007304F4">
        <w:rPr>
          <w:rFonts w:eastAsia="Times New Roman"/>
        </w:rPr>
        <w:tab/>
      </w:r>
    </w:p>
    <w:p w:rsidR="007304F4" w:rsidRPr="007304F4" w:rsidRDefault="007304F4" w:rsidP="007304F4">
      <w:pPr>
        <w:ind w:firstLine="708"/>
        <w:jc w:val="both"/>
        <w:rPr>
          <w:rFonts w:eastAsia="Times New Roman"/>
        </w:rPr>
      </w:pPr>
      <w:r w:rsidRPr="007304F4">
        <w:rPr>
          <w:rFonts w:eastAsia="Times New Roman"/>
        </w:rPr>
        <w:t xml:space="preserve">3 - </w:t>
      </w:r>
      <w:r w:rsidRPr="007304F4">
        <w:rPr>
          <w:rFonts w:eastAsia="Times New Roman"/>
        </w:rPr>
        <w:tab/>
        <w:t>art. 91 pkt. 26 ustawy o zużytym sprzęcie elektrycznym i elektronicznym.</w:t>
      </w:r>
    </w:p>
    <w:p w:rsidR="007304F4" w:rsidRPr="007304F4" w:rsidRDefault="007304F4" w:rsidP="007304F4">
      <w:pPr>
        <w:ind w:firstLine="708"/>
        <w:jc w:val="both"/>
        <w:rPr>
          <w:rFonts w:eastAsia="Times New Roman"/>
        </w:rPr>
      </w:pPr>
      <w:r w:rsidRPr="007304F4">
        <w:rPr>
          <w:rFonts w:eastAsia="Times New Roman"/>
        </w:rPr>
        <w:t xml:space="preserve">2 - </w:t>
      </w:r>
      <w:r w:rsidRPr="007304F4">
        <w:rPr>
          <w:rFonts w:eastAsia="Times New Roman"/>
        </w:rPr>
        <w:tab/>
        <w:t>art. 67a § 1 Ordynacji podatkowej.</w:t>
      </w:r>
    </w:p>
    <w:p w:rsidR="007304F4" w:rsidRPr="007304F4" w:rsidRDefault="007304F4" w:rsidP="007304F4">
      <w:pPr>
        <w:ind w:firstLine="708"/>
        <w:jc w:val="both"/>
        <w:rPr>
          <w:rFonts w:eastAsia="Times New Roman"/>
        </w:rPr>
      </w:pPr>
      <w:r w:rsidRPr="007304F4">
        <w:rPr>
          <w:rFonts w:eastAsia="Times New Roman"/>
        </w:rPr>
        <w:t xml:space="preserve">1 - </w:t>
      </w:r>
      <w:r w:rsidRPr="007304F4">
        <w:rPr>
          <w:rFonts w:eastAsia="Times New Roman"/>
        </w:rPr>
        <w:tab/>
        <w:t xml:space="preserve">art. 140m ust. 1 pkt 3 ustawy Prawo o ruchu </w:t>
      </w:r>
      <w:r w:rsidR="005B2BC9">
        <w:rPr>
          <w:rFonts w:eastAsia="Times New Roman"/>
        </w:rPr>
        <w:t>drogowym,</w:t>
      </w:r>
    </w:p>
    <w:p w:rsidR="007304F4" w:rsidRPr="007304F4" w:rsidRDefault="007304F4" w:rsidP="007304F4">
      <w:pPr>
        <w:ind w:left="1413" w:hanging="705"/>
        <w:jc w:val="both"/>
        <w:rPr>
          <w:rFonts w:eastAsia="Times New Roman"/>
        </w:rPr>
      </w:pPr>
      <w:r w:rsidRPr="007304F4">
        <w:rPr>
          <w:rFonts w:eastAsia="Times New Roman"/>
        </w:rPr>
        <w:t xml:space="preserve">1 - </w:t>
      </w:r>
      <w:r w:rsidRPr="007304F4">
        <w:rPr>
          <w:rFonts w:eastAsia="Times New Roman"/>
        </w:rPr>
        <w:tab/>
        <w:t>art. 56 ust. 1 pkt 2 ustawy o gospodarce opakowaniami i odpadami opakowaniowymi.</w:t>
      </w:r>
    </w:p>
    <w:p w:rsidR="007304F4" w:rsidRPr="007304F4" w:rsidRDefault="007304F4" w:rsidP="007304F4">
      <w:pPr>
        <w:ind w:firstLine="708"/>
        <w:jc w:val="both"/>
        <w:rPr>
          <w:rFonts w:eastAsia="Times New Roman"/>
        </w:rPr>
      </w:pPr>
      <w:r w:rsidRPr="007304F4">
        <w:rPr>
          <w:rFonts w:eastAsia="Times New Roman"/>
        </w:rPr>
        <w:t xml:space="preserve">1 - </w:t>
      </w:r>
      <w:r w:rsidRPr="007304F4">
        <w:rPr>
          <w:rFonts w:eastAsia="Times New Roman"/>
        </w:rPr>
        <w:tab/>
        <w:t xml:space="preserve">art. 35j pkt 4 ustawy o systemie monitorowania i kontrolowania jakości paliw </w:t>
      </w:r>
    </w:p>
    <w:p w:rsidR="007304F4" w:rsidRPr="007304F4" w:rsidRDefault="007304F4" w:rsidP="007304F4">
      <w:pPr>
        <w:ind w:firstLine="708"/>
        <w:jc w:val="both"/>
        <w:rPr>
          <w:rFonts w:eastAsia="Times New Roman"/>
        </w:rPr>
      </w:pPr>
      <w:r w:rsidRPr="007304F4">
        <w:rPr>
          <w:rFonts w:eastAsia="Times New Roman"/>
        </w:rPr>
        <w:t xml:space="preserve">1 - </w:t>
      </w:r>
      <w:r w:rsidRPr="007304F4">
        <w:rPr>
          <w:rFonts w:eastAsia="Times New Roman"/>
        </w:rPr>
        <w:tab/>
        <w:t>art. 40j ust. 1 ustawy o systemie oceny zgodności.</w:t>
      </w:r>
      <w:r w:rsidRPr="007304F4">
        <w:rPr>
          <w:rFonts w:eastAsia="Times New Roman"/>
        </w:rPr>
        <w:tab/>
      </w:r>
      <w:r w:rsidRPr="007304F4">
        <w:rPr>
          <w:rFonts w:eastAsia="Times New Roman"/>
        </w:rPr>
        <w:tab/>
      </w:r>
      <w:r w:rsidRPr="007304F4">
        <w:rPr>
          <w:rFonts w:eastAsia="Times New Roman"/>
        </w:rPr>
        <w:tab/>
      </w:r>
      <w:r w:rsidRPr="007304F4">
        <w:rPr>
          <w:rFonts w:eastAsia="Times New Roman"/>
        </w:rPr>
        <w:tab/>
      </w:r>
    </w:p>
    <w:p w:rsidR="007304F4" w:rsidRPr="007304F4" w:rsidRDefault="007304F4" w:rsidP="007304F4">
      <w:pPr>
        <w:ind w:firstLine="708"/>
        <w:jc w:val="both"/>
        <w:rPr>
          <w:rFonts w:eastAsia="Times New Roman"/>
        </w:rPr>
      </w:pPr>
      <w:r w:rsidRPr="007304F4">
        <w:rPr>
          <w:rFonts w:eastAsia="Times New Roman"/>
        </w:rPr>
        <w:t xml:space="preserve">1 - </w:t>
      </w:r>
      <w:r w:rsidRPr="007304F4">
        <w:rPr>
          <w:rFonts w:eastAsia="Times New Roman"/>
        </w:rPr>
        <w:tab/>
        <w:t>inne.</w:t>
      </w:r>
    </w:p>
    <w:p w:rsidR="00D536DD" w:rsidRPr="007304F4" w:rsidRDefault="00D536DD" w:rsidP="00D536DD">
      <w:pPr>
        <w:widowControl w:val="0"/>
        <w:autoSpaceDE w:val="0"/>
        <w:autoSpaceDN w:val="0"/>
        <w:adjustRightInd w:val="0"/>
        <w:ind w:left="786"/>
        <w:jc w:val="both"/>
        <w:rPr>
          <w:rFonts w:eastAsia="Times New Roman"/>
        </w:rPr>
      </w:pPr>
    </w:p>
    <w:p w:rsidR="007304F4" w:rsidRPr="007304F4" w:rsidRDefault="00855341" w:rsidP="00AE7CF5">
      <w:pPr>
        <w:widowControl w:val="0"/>
        <w:autoSpaceDE w:val="0"/>
        <w:autoSpaceDN w:val="0"/>
        <w:adjustRightInd w:val="0"/>
        <w:jc w:val="both"/>
        <w:rPr>
          <w:rFonts w:ascii="Palatino Linotype" w:hAnsi="Palatino Linotype"/>
          <w:sz w:val="16"/>
          <w:szCs w:val="16"/>
        </w:rPr>
      </w:pPr>
      <w:r>
        <w:rPr>
          <w:rFonts w:ascii="Palatino Linotype" w:hAnsi="Palatino Linotype"/>
          <w:sz w:val="16"/>
          <w:szCs w:val="16"/>
        </w:rPr>
        <w:t>Rys. 5</w:t>
      </w:r>
      <w:r w:rsidR="00AE7CF5" w:rsidRPr="007304F4">
        <w:rPr>
          <w:rFonts w:ascii="Palatino Linotype" w:hAnsi="Palatino Linotype"/>
          <w:sz w:val="16"/>
          <w:szCs w:val="16"/>
        </w:rPr>
        <w:t xml:space="preserve"> Liczba wydanych decyzji w latach 20</w:t>
      </w:r>
      <w:r w:rsidR="005817AF" w:rsidRPr="007304F4">
        <w:rPr>
          <w:rFonts w:ascii="Palatino Linotype" w:hAnsi="Palatino Linotype"/>
          <w:sz w:val="16"/>
          <w:szCs w:val="16"/>
        </w:rPr>
        <w:t>1</w:t>
      </w:r>
      <w:r w:rsidR="00B82830" w:rsidRPr="007304F4">
        <w:rPr>
          <w:rFonts w:ascii="Palatino Linotype" w:hAnsi="Palatino Linotype"/>
          <w:sz w:val="16"/>
          <w:szCs w:val="16"/>
        </w:rPr>
        <w:t>3</w:t>
      </w:r>
      <w:r w:rsidR="00AE7CF5" w:rsidRPr="007304F4">
        <w:rPr>
          <w:rFonts w:ascii="Palatino Linotype" w:hAnsi="Palatino Linotype"/>
          <w:sz w:val="16"/>
          <w:szCs w:val="16"/>
        </w:rPr>
        <w:t>-201</w:t>
      </w:r>
      <w:r w:rsidR="007304F4" w:rsidRPr="007304F4">
        <w:rPr>
          <w:rFonts w:ascii="Palatino Linotype" w:hAnsi="Palatino Linotype"/>
          <w:sz w:val="16"/>
          <w:szCs w:val="16"/>
        </w:rPr>
        <w:t>6</w:t>
      </w:r>
    </w:p>
    <w:p w:rsidR="00AE7CF5" w:rsidRPr="00855341" w:rsidRDefault="00AE7CF5" w:rsidP="00855341">
      <w:pPr>
        <w:widowControl w:val="0"/>
        <w:autoSpaceDE w:val="0"/>
        <w:autoSpaceDN w:val="0"/>
        <w:adjustRightInd w:val="0"/>
        <w:jc w:val="center"/>
        <w:rPr>
          <w:rFonts w:ascii="Palatino Linotype" w:hAnsi="Palatino Linotype"/>
          <w:sz w:val="16"/>
          <w:szCs w:val="16"/>
        </w:rPr>
      </w:pPr>
      <w:r w:rsidRPr="00855341">
        <w:rPr>
          <w:rFonts w:ascii="Palatino Linotype" w:hAnsi="Palatino Linotype"/>
          <w:sz w:val="16"/>
          <w:szCs w:val="16"/>
        </w:rPr>
        <w:t>.</w:t>
      </w:r>
      <w:r w:rsidR="007304F4" w:rsidRPr="00855341">
        <w:rPr>
          <w:noProof/>
        </w:rPr>
        <w:t xml:space="preserve"> </w:t>
      </w:r>
      <w:r w:rsidR="007304F4" w:rsidRPr="00855341">
        <w:rPr>
          <w:noProof/>
        </w:rPr>
        <w:drawing>
          <wp:inline distT="0" distB="0" distL="0" distR="0" wp14:anchorId="36B69FCE" wp14:editId="171D7097">
            <wp:extent cx="4572000" cy="1871932"/>
            <wp:effectExtent l="0" t="0" r="19050" b="1460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7A3C" w:rsidRPr="00855341" w:rsidRDefault="00D536DD" w:rsidP="00D536DD">
      <w:pPr>
        <w:widowControl w:val="0"/>
        <w:autoSpaceDE w:val="0"/>
        <w:autoSpaceDN w:val="0"/>
        <w:adjustRightInd w:val="0"/>
        <w:ind w:firstLine="709"/>
        <w:jc w:val="both"/>
      </w:pPr>
      <w:r w:rsidRPr="00855341">
        <w:rPr>
          <w:i/>
        </w:rPr>
        <w:t>Zestawienie liczbowe wykorzystania ustaleń ko</w:t>
      </w:r>
      <w:r w:rsidR="009714C4" w:rsidRPr="00855341">
        <w:rPr>
          <w:i/>
        </w:rPr>
        <w:t>ntroli przez Inspektorat w  2016</w:t>
      </w:r>
      <w:r w:rsidRPr="00855341">
        <w:rPr>
          <w:i/>
        </w:rPr>
        <w:t xml:space="preserve"> r. zawiera</w:t>
      </w:r>
      <w:r w:rsidR="00BF0AE9" w:rsidRPr="00855341">
        <w:rPr>
          <w:i/>
        </w:rPr>
        <w:t xml:space="preserve"> </w:t>
      </w:r>
      <w:r w:rsidR="00855341" w:rsidRPr="00855341">
        <w:rPr>
          <w:i/>
        </w:rPr>
        <w:t>Tab. 2 znajdująca się na str. 27</w:t>
      </w:r>
      <w:r w:rsidRPr="00855341">
        <w:rPr>
          <w:i/>
        </w:rPr>
        <w:t xml:space="preserve"> sprawozdania.</w:t>
      </w:r>
    </w:p>
    <w:p w:rsidR="00711C6E" w:rsidRPr="00855341" w:rsidRDefault="00711C6E" w:rsidP="0059694B">
      <w:pPr>
        <w:widowControl w:val="0"/>
        <w:autoSpaceDE w:val="0"/>
        <w:autoSpaceDN w:val="0"/>
        <w:adjustRightInd w:val="0"/>
        <w:jc w:val="center"/>
      </w:pPr>
    </w:p>
    <w:p w:rsidR="00FF26FA" w:rsidRPr="00855341" w:rsidRDefault="00FF26FA" w:rsidP="0059694B">
      <w:pPr>
        <w:widowControl w:val="0"/>
        <w:autoSpaceDE w:val="0"/>
        <w:autoSpaceDN w:val="0"/>
        <w:adjustRightInd w:val="0"/>
        <w:jc w:val="center"/>
      </w:pPr>
      <w:r w:rsidRPr="00855341">
        <w:t>***</w:t>
      </w:r>
    </w:p>
    <w:p w:rsidR="007304F4" w:rsidRPr="007304F4" w:rsidRDefault="007304F4" w:rsidP="007304F4">
      <w:pPr>
        <w:widowControl w:val="0"/>
        <w:autoSpaceDE w:val="0"/>
        <w:autoSpaceDN w:val="0"/>
        <w:adjustRightInd w:val="0"/>
        <w:jc w:val="both"/>
        <w:rPr>
          <w:rFonts w:eastAsia="Times New Roman"/>
        </w:rPr>
      </w:pPr>
      <w:r w:rsidRPr="007304F4">
        <w:rPr>
          <w:rFonts w:eastAsia="Times New Roman"/>
        </w:rPr>
        <w:tab/>
        <w:t>Inspektorat prowadzi ścisłą współpracę z: Policją, Okręgowym i Obwodowym Urzędem Miar, Izbą Celną, urzędami celnymi, Urzędem Kontroli Skarbowej, Stacją Sanitarno-Epidemiologiczną, Inspekcją Jakości Handlowej Artykułów Rolno-Spożywczych, Inspekcją Weterynaryjną oraz Inspekcją Ochrony Środowiska. W praktyce realizowane są podpisane porozumienia o współpracy, odbywają się spotkania robocze oraz wymiana informacji dotycząca konkretnych spraw, jak też zjawisk występujących na rynku.</w:t>
      </w:r>
    </w:p>
    <w:p w:rsidR="007304F4" w:rsidRPr="007304F4" w:rsidRDefault="007304F4" w:rsidP="007304F4">
      <w:pPr>
        <w:widowControl w:val="0"/>
        <w:autoSpaceDE w:val="0"/>
        <w:autoSpaceDN w:val="0"/>
        <w:adjustRightInd w:val="0"/>
        <w:jc w:val="both"/>
        <w:rPr>
          <w:rFonts w:eastAsia="Times New Roman"/>
        </w:rPr>
      </w:pPr>
      <w:r w:rsidRPr="007304F4">
        <w:rPr>
          <w:rFonts w:eastAsia="Times New Roman"/>
        </w:rPr>
        <w:tab/>
        <w:t>Na potrzeby organów celnych wydano 4 opinie dotyczących spełniania przez produkty zasadniczych wymagań (2) oraz kosmetyków (2).</w:t>
      </w:r>
    </w:p>
    <w:p w:rsidR="007304F4" w:rsidRPr="007304F4" w:rsidRDefault="007304F4" w:rsidP="007304F4">
      <w:pPr>
        <w:widowControl w:val="0"/>
        <w:autoSpaceDE w:val="0"/>
        <w:autoSpaceDN w:val="0"/>
        <w:adjustRightInd w:val="0"/>
        <w:ind w:firstLine="708"/>
        <w:jc w:val="both"/>
        <w:rPr>
          <w:rFonts w:eastAsia="Times New Roman"/>
        </w:rPr>
      </w:pPr>
      <w:r w:rsidRPr="007304F4">
        <w:rPr>
          <w:rFonts w:eastAsia="Times New Roman"/>
        </w:rPr>
        <w:t>Wystosowano:</w:t>
      </w:r>
    </w:p>
    <w:p w:rsidR="007304F4" w:rsidRDefault="007304F4" w:rsidP="004670DB">
      <w:pPr>
        <w:widowControl w:val="0"/>
        <w:numPr>
          <w:ilvl w:val="0"/>
          <w:numId w:val="16"/>
        </w:numPr>
        <w:autoSpaceDE w:val="0"/>
        <w:autoSpaceDN w:val="0"/>
        <w:adjustRightInd w:val="0"/>
        <w:ind w:hanging="1002"/>
        <w:jc w:val="both"/>
        <w:rPr>
          <w:rFonts w:eastAsia="Times New Roman"/>
        </w:rPr>
      </w:pPr>
      <w:r w:rsidRPr="007304F4">
        <w:rPr>
          <w:rFonts w:eastAsia="Times New Roman"/>
        </w:rPr>
        <w:t xml:space="preserve">14 wystąpień do IJHARS, </w:t>
      </w:r>
    </w:p>
    <w:p w:rsidR="007304F4" w:rsidRPr="007304F4" w:rsidRDefault="007304F4" w:rsidP="004670DB">
      <w:pPr>
        <w:widowControl w:val="0"/>
        <w:numPr>
          <w:ilvl w:val="0"/>
          <w:numId w:val="16"/>
        </w:numPr>
        <w:autoSpaceDE w:val="0"/>
        <w:autoSpaceDN w:val="0"/>
        <w:adjustRightInd w:val="0"/>
        <w:ind w:hanging="1002"/>
        <w:jc w:val="both"/>
        <w:rPr>
          <w:rFonts w:eastAsia="Times New Roman"/>
        </w:rPr>
      </w:pPr>
      <w:r w:rsidRPr="007304F4">
        <w:rPr>
          <w:rFonts w:eastAsia="Times New Roman"/>
        </w:rPr>
        <w:t>11 wystąpień do Izby Celnej w Białymstoku,</w:t>
      </w:r>
    </w:p>
    <w:p w:rsidR="007304F4" w:rsidRPr="007304F4" w:rsidRDefault="007304F4" w:rsidP="004670DB">
      <w:pPr>
        <w:widowControl w:val="0"/>
        <w:numPr>
          <w:ilvl w:val="0"/>
          <w:numId w:val="16"/>
        </w:numPr>
        <w:autoSpaceDE w:val="0"/>
        <w:autoSpaceDN w:val="0"/>
        <w:adjustRightInd w:val="0"/>
        <w:ind w:hanging="1002"/>
        <w:jc w:val="both"/>
        <w:rPr>
          <w:rFonts w:eastAsia="Times New Roman"/>
        </w:rPr>
      </w:pPr>
      <w:r w:rsidRPr="007304F4">
        <w:rPr>
          <w:rFonts w:eastAsia="Times New Roman"/>
        </w:rPr>
        <w:t>20 wystąpień do PIS i IW,</w:t>
      </w:r>
    </w:p>
    <w:p w:rsidR="007304F4" w:rsidRPr="007304F4" w:rsidRDefault="007304F4" w:rsidP="004670DB">
      <w:pPr>
        <w:widowControl w:val="0"/>
        <w:numPr>
          <w:ilvl w:val="0"/>
          <w:numId w:val="16"/>
        </w:numPr>
        <w:autoSpaceDE w:val="0"/>
        <w:autoSpaceDN w:val="0"/>
        <w:adjustRightInd w:val="0"/>
        <w:ind w:hanging="1002"/>
        <w:jc w:val="both"/>
        <w:rPr>
          <w:rFonts w:eastAsia="Times New Roman"/>
        </w:rPr>
      </w:pPr>
      <w:r w:rsidRPr="007304F4">
        <w:rPr>
          <w:rFonts w:eastAsia="Times New Roman"/>
        </w:rPr>
        <w:t>2 wystąpienia do Urzędu Kontroli Skarbowej,</w:t>
      </w:r>
    </w:p>
    <w:p w:rsidR="007304F4" w:rsidRPr="007304F4" w:rsidRDefault="007304F4" w:rsidP="004670DB">
      <w:pPr>
        <w:widowControl w:val="0"/>
        <w:numPr>
          <w:ilvl w:val="0"/>
          <w:numId w:val="16"/>
        </w:numPr>
        <w:autoSpaceDE w:val="0"/>
        <w:autoSpaceDN w:val="0"/>
        <w:adjustRightInd w:val="0"/>
        <w:ind w:hanging="1002"/>
        <w:jc w:val="both"/>
        <w:rPr>
          <w:rFonts w:eastAsia="Times New Roman"/>
        </w:rPr>
      </w:pPr>
      <w:r w:rsidRPr="007304F4">
        <w:rPr>
          <w:rFonts w:eastAsia="Times New Roman"/>
        </w:rPr>
        <w:t>3 wystąpienia do Urzędu Celnego.</w:t>
      </w:r>
    </w:p>
    <w:p w:rsidR="00FF26FA" w:rsidRPr="007304F4" w:rsidRDefault="00FF26FA" w:rsidP="00FF26FA">
      <w:pPr>
        <w:widowControl w:val="0"/>
        <w:autoSpaceDE w:val="0"/>
        <w:autoSpaceDN w:val="0"/>
        <w:adjustRightInd w:val="0"/>
        <w:jc w:val="both"/>
        <w:rPr>
          <w:rFonts w:eastAsia="Times New Roman"/>
        </w:rPr>
      </w:pPr>
    </w:p>
    <w:p w:rsidR="000702E0" w:rsidRDefault="000702E0" w:rsidP="00A1744A">
      <w:pPr>
        <w:pStyle w:val="Tekstpodstawowy"/>
        <w:jc w:val="center"/>
        <w:rPr>
          <w:b/>
          <w:sz w:val="28"/>
          <w:szCs w:val="28"/>
        </w:rPr>
      </w:pPr>
    </w:p>
    <w:p w:rsidR="00E9261A" w:rsidRPr="007304F4" w:rsidRDefault="00E9261A" w:rsidP="00A1744A">
      <w:pPr>
        <w:pStyle w:val="Tekstpodstawowy"/>
        <w:jc w:val="center"/>
        <w:rPr>
          <w:b/>
          <w:sz w:val="28"/>
          <w:szCs w:val="28"/>
        </w:rPr>
      </w:pPr>
    </w:p>
    <w:p w:rsidR="0010155D" w:rsidRDefault="00E06C7F" w:rsidP="00A1744A">
      <w:pPr>
        <w:pStyle w:val="Tekstpodstawowy"/>
        <w:jc w:val="center"/>
        <w:rPr>
          <w:b/>
          <w:sz w:val="28"/>
          <w:szCs w:val="28"/>
        </w:rPr>
      </w:pPr>
      <w:r w:rsidRPr="007304F4">
        <w:rPr>
          <w:b/>
          <w:sz w:val="28"/>
          <w:szCs w:val="28"/>
        </w:rPr>
        <w:t xml:space="preserve">III. </w:t>
      </w:r>
      <w:r w:rsidR="0010155D" w:rsidRPr="007304F4">
        <w:rPr>
          <w:b/>
          <w:sz w:val="28"/>
          <w:szCs w:val="28"/>
        </w:rPr>
        <w:t>Ochrona konsumenta i działalność edukacyjna</w:t>
      </w:r>
    </w:p>
    <w:p w:rsidR="007E349D" w:rsidRPr="007304F4" w:rsidRDefault="007E349D" w:rsidP="00A1744A">
      <w:pPr>
        <w:pStyle w:val="Tekstpodstawowy"/>
        <w:jc w:val="center"/>
        <w:rPr>
          <w:b/>
          <w:sz w:val="28"/>
          <w:szCs w:val="28"/>
        </w:rPr>
      </w:pPr>
    </w:p>
    <w:p w:rsidR="00522090" w:rsidRPr="00830920" w:rsidRDefault="00522090" w:rsidP="004670DB">
      <w:pPr>
        <w:numPr>
          <w:ilvl w:val="0"/>
          <w:numId w:val="15"/>
        </w:numPr>
        <w:ind w:left="426" w:hanging="426"/>
        <w:jc w:val="both"/>
        <w:rPr>
          <w:b/>
        </w:rPr>
      </w:pPr>
      <w:r w:rsidRPr="009714C4">
        <w:rPr>
          <w:b/>
          <w:bCs/>
        </w:rPr>
        <w:t>Mediacje i poradnictwo konsumenckie</w:t>
      </w:r>
    </w:p>
    <w:p w:rsidR="00830920" w:rsidRPr="009714C4" w:rsidRDefault="00830920" w:rsidP="00830920">
      <w:pPr>
        <w:ind w:left="426"/>
        <w:jc w:val="both"/>
        <w:rPr>
          <w:b/>
        </w:rPr>
      </w:pPr>
    </w:p>
    <w:p w:rsidR="00E33D6D" w:rsidRPr="009714C4" w:rsidRDefault="00E33D6D" w:rsidP="00E33D6D">
      <w:pPr>
        <w:ind w:firstLine="709"/>
        <w:jc w:val="both"/>
      </w:pPr>
      <w:r w:rsidRPr="009714C4">
        <w:t>We wskazanym okresi</w:t>
      </w:r>
      <w:r w:rsidR="009714C4" w:rsidRPr="009714C4">
        <w:t>e Inspektorat otrzymał ogółem 637  (dodatkowo załatwiono 8</w:t>
      </w:r>
      <w:r w:rsidRPr="009714C4">
        <w:t xml:space="preserve"> spraw z poprzedniego okresu) wniosków o mediację i informacji o nieprawidłowościach, w tym do delegatur w Łomży i w Suwałk</w:t>
      </w:r>
      <w:r w:rsidR="009714C4" w:rsidRPr="009714C4">
        <w:t>ach wpłynęło ich odpowiednio 142 i 77</w:t>
      </w:r>
      <w:r w:rsidRPr="009714C4">
        <w:t>.</w:t>
      </w:r>
    </w:p>
    <w:p w:rsidR="00E33D6D" w:rsidRPr="009714C4" w:rsidRDefault="00E33D6D" w:rsidP="00EF41AC">
      <w:pPr>
        <w:ind w:firstLine="709"/>
        <w:jc w:val="both"/>
      </w:pPr>
      <w:r w:rsidRPr="009714C4">
        <w:t>We</w:t>
      </w:r>
      <w:r w:rsidR="009714C4" w:rsidRPr="009714C4">
        <w:t xml:space="preserve"> własnym zakresie załatwiono 584 wnioski, 2</w:t>
      </w:r>
      <w:r w:rsidRPr="009714C4">
        <w:t>0 zostało przekazanych innym organom. Do załatwie</w:t>
      </w:r>
      <w:r w:rsidR="009714C4" w:rsidRPr="009714C4">
        <w:t>nia w roku  bieżącym pozostało 11</w:t>
      </w:r>
      <w:r w:rsidRPr="009714C4">
        <w:t xml:space="preserve"> wniosków.  </w:t>
      </w:r>
    </w:p>
    <w:p w:rsidR="00E33D6D" w:rsidRPr="009714C4" w:rsidRDefault="00E33D6D" w:rsidP="00E33D6D">
      <w:pPr>
        <w:ind w:firstLine="709"/>
        <w:jc w:val="both"/>
      </w:pPr>
    </w:p>
    <w:p w:rsidR="00522090" w:rsidRPr="003605D6" w:rsidRDefault="00E33D6D" w:rsidP="00E33D6D">
      <w:pPr>
        <w:ind w:firstLine="709"/>
        <w:jc w:val="both"/>
      </w:pPr>
      <w:r w:rsidRPr="009714C4">
        <w:t>Podobnie jak w poprzednich okresach sprawozdawczych zdecydowana większo</w:t>
      </w:r>
      <w:r w:rsidR="009714C4" w:rsidRPr="009714C4">
        <w:t>ść spraw (470</w:t>
      </w:r>
      <w:r w:rsidRPr="009714C4">
        <w:t xml:space="preserve">) została załatwiona w toku przeprowadzonego postępowania mediacyjnego. </w:t>
      </w:r>
      <w:r w:rsidRPr="003605D6">
        <w:t>Pozytywnie dla konsume</w:t>
      </w:r>
      <w:r w:rsidR="000702E0" w:rsidRPr="003605D6">
        <w:t xml:space="preserve">ntów zakończyło się </w:t>
      </w:r>
      <w:r w:rsidR="009714C4" w:rsidRPr="003605D6">
        <w:t>406 mediacji</w:t>
      </w:r>
      <w:r w:rsidR="003605D6" w:rsidRPr="003605D6">
        <w:t xml:space="preserve"> (86</w:t>
      </w:r>
      <w:r w:rsidRPr="003605D6">
        <w:t xml:space="preserve">%). </w:t>
      </w:r>
    </w:p>
    <w:p w:rsidR="00352AA1" w:rsidRDefault="00352AA1" w:rsidP="00E33D6D">
      <w:pPr>
        <w:ind w:firstLine="709"/>
        <w:jc w:val="both"/>
      </w:pPr>
    </w:p>
    <w:p w:rsidR="00830920" w:rsidRDefault="00830920" w:rsidP="00E33D6D">
      <w:pPr>
        <w:ind w:firstLine="709"/>
        <w:jc w:val="both"/>
      </w:pPr>
    </w:p>
    <w:p w:rsidR="00830920" w:rsidRDefault="00830920" w:rsidP="00E33D6D">
      <w:pPr>
        <w:ind w:firstLine="709"/>
        <w:jc w:val="both"/>
      </w:pPr>
    </w:p>
    <w:p w:rsidR="00830920" w:rsidRPr="003605D6" w:rsidRDefault="00830920" w:rsidP="00E33D6D">
      <w:pPr>
        <w:ind w:firstLine="709"/>
        <w:jc w:val="both"/>
      </w:pPr>
    </w:p>
    <w:p w:rsidR="00440BF8" w:rsidRPr="003605D6" w:rsidRDefault="00440BF8" w:rsidP="00855341">
      <w:pPr>
        <w:jc w:val="both"/>
      </w:pPr>
      <w:r w:rsidRPr="003605D6">
        <w:rPr>
          <w:rFonts w:ascii="Palatino Linotype" w:hAnsi="Palatino Linotype"/>
          <w:sz w:val="16"/>
          <w:szCs w:val="16"/>
        </w:rPr>
        <w:lastRenderedPageBreak/>
        <w:t>Rys.</w:t>
      </w:r>
      <w:r w:rsidR="003605D6" w:rsidRPr="003605D6">
        <w:rPr>
          <w:rFonts w:ascii="Palatino Linotype" w:hAnsi="Palatino Linotype"/>
          <w:sz w:val="16"/>
          <w:szCs w:val="16"/>
        </w:rPr>
        <w:t xml:space="preserve"> 6. Postępowania mediacyjne 2016</w:t>
      </w:r>
      <w:r w:rsidRPr="003605D6">
        <w:rPr>
          <w:rFonts w:ascii="Palatino Linotype" w:hAnsi="Palatino Linotype"/>
          <w:sz w:val="16"/>
          <w:szCs w:val="16"/>
        </w:rPr>
        <w:t>r.</w:t>
      </w:r>
    </w:p>
    <w:p w:rsidR="00352AA1" w:rsidRDefault="003605D6" w:rsidP="003605D6">
      <w:pPr>
        <w:jc w:val="both"/>
        <w:rPr>
          <w:color w:val="FF0000"/>
        </w:rPr>
      </w:pPr>
      <w:r>
        <w:rPr>
          <w:noProof/>
        </w:rPr>
        <w:drawing>
          <wp:inline distT="0" distB="0" distL="0" distR="0" wp14:anchorId="0BB8F7A0" wp14:editId="72A305AB">
            <wp:extent cx="5348378" cy="1483743"/>
            <wp:effectExtent l="0" t="0" r="24130" b="2159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261A" w:rsidRPr="00855341" w:rsidRDefault="00E9261A" w:rsidP="003605D6">
      <w:pPr>
        <w:jc w:val="both"/>
      </w:pPr>
    </w:p>
    <w:p w:rsidR="00E9261A" w:rsidRPr="003605D6" w:rsidRDefault="00E9261A" w:rsidP="00855341">
      <w:pPr>
        <w:jc w:val="both"/>
      </w:pPr>
      <w:r w:rsidRPr="003605D6">
        <w:rPr>
          <w:rFonts w:ascii="Palatino Linotype" w:hAnsi="Palatino Linotype"/>
          <w:sz w:val="16"/>
          <w:szCs w:val="16"/>
        </w:rPr>
        <w:t>Rys.</w:t>
      </w:r>
      <w:r w:rsidR="00855341">
        <w:rPr>
          <w:rFonts w:ascii="Palatino Linotype" w:hAnsi="Palatino Linotype"/>
          <w:sz w:val="16"/>
          <w:szCs w:val="16"/>
        </w:rPr>
        <w:t xml:space="preserve"> 7. Wyniki postępowań mediacyjnych w </w:t>
      </w:r>
      <w:r w:rsidRPr="003605D6">
        <w:rPr>
          <w:rFonts w:ascii="Palatino Linotype" w:hAnsi="Palatino Linotype"/>
          <w:sz w:val="16"/>
          <w:szCs w:val="16"/>
        </w:rPr>
        <w:t>2016r.</w:t>
      </w:r>
    </w:p>
    <w:p w:rsidR="005B2BC9" w:rsidRDefault="00E9261A" w:rsidP="00855341">
      <w:pPr>
        <w:ind w:hanging="142"/>
        <w:jc w:val="center"/>
        <w:rPr>
          <w:color w:val="FF0000"/>
        </w:rPr>
      </w:pPr>
      <w:r>
        <w:rPr>
          <w:noProof/>
        </w:rPr>
        <w:drawing>
          <wp:inline distT="0" distB="0" distL="0" distR="0" wp14:anchorId="2A658CA3" wp14:editId="14D103BD">
            <wp:extent cx="5382883" cy="1613140"/>
            <wp:effectExtent l="0" t="0" r="27940" b="2540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41AC" w:rsidRPr="005B2BC9" w:rsidRDefault="005B2BC9" w:rsidP="00E33D6D">
      <w:pPr>
        <w:ind w:firstLine="709"/>
        <w:jc w:val="both"/>
      </w:pPr>
      <w:r w:rsidRPr="005B2BC9">
        <w:t>W przypadku 94</w:t>
      </w:r>
      <w:r w:rsidR="00E33D6D" w:rsidRPr="005B2BC9">
        <w:t xml:space="preserve"> informacji Inspektorat przeprowadził postępowania</w:t>
      </w:r>
      <w:r w:rsidRPr="005B2BC9">
        <w:t xml:space="preserve"> kontrolne. W 35</w:t>
      </w:r>
      <w:r w:rsidR="00E33D6D" w:rsidRPr="005B2BC9">
        <w:t xml:space="preserve"> z nich</w:t>
      </w:r>
      <w:r w:rsidR="00352AA1" w:rsidRPr="005B2BC9">
        <w:t xml:space="preserve"> informacje dotyczące nieprawidłowości potwierdziły się</w:t>
      </w:r>
      <w:r w:rsidR="00E33D6D" w:rsidRPr="005B2BC9">
        <w:t xml:space="preserve">. </w:t>
      </w:r>
    </w:p>
    <w:p w:rsidR="00E248EA" w:rsidRPr="005B2BC9" w:rsidRDefault="00E33D6D" w:rsidP="00E33D6D">
      <w:pPr>
        <w:ind w:firstLine="709"/>
        <w:jc w:val="both"/>
      </w:pPr>
      <w:r w:rsidRPr="005B2BC9">
        <w:t xml:space="preserve">Celem likwidacji przyczyn powstawania wniosków i informacji o nieprawidłowościach Inspektorat kontynuuje, podobnie jak w latach ubiegłych, działania o charakterze edukacyjno-instruktażowym </w:t>
      </w:r>
      <w:r w:rsidR="005B2BC9" w:rsidRPr="005B2BC9">
        <w:t>oraz informacyjnym. W roku 2016</w:t>
      </w:r>
      <w:r w:rsidR="00EF41AC" w:rsidRPr="005B2BC9">
        <w:t xml:space="preserve"> </w:t>
      </w:r>
      <w:r w:rsidR="00CD257A" w:rsidRPr="005B2BC9">
        <w:t>p</w:t>
      </w:r>
      <w:r w:rsidRPr="005B2BC9">
        <w:t xml:space="preserve">rzeprowadzono szkolenia </w:t>
      </w:r>
      <w:r w:rsidR="005B2BC9" w:rsidRPr="005B2BC9">
        <w:t xml:space="preserve">dla studentów </w:t>
      </w:r>
      <w:r w:rsidRPr="005B2BC9">
        <w:t>oraz uczniów szkół średnich.</w:t>
      </w:r>
    </w:p>
    <w:p w:rsidR="00A74AA7" w:rsidRPr="005B2BC9" w:rsidRDefault="005B2BC9" w:rsidP="00E33D6D">
      <w:pPr>
        <w:ind w:firstLine="709"/>
        <w:jc w:val="both"/>
      </w:pPr>
      <w:r w:rsidRPr="005B2BC9">
        <w:t>W 2016</w:t>
      </w:r>
      <w:r w:rsidR="00A74AA7" w:rsidRPr="005B2BC9">
        <w:t xml:space="preserve">r. udzielono </w:t>
      </w:r>
      <w:r w:rsidR="00106DCC" w:rsidRPr="005B2BC9">
        <w:t xml:space="preserve"> </w:t>
      </w:r>
      <w:r w:rsidR="00A74AA7" w:rsidRPr="005B2BC9">
        <w:t xml:space="preserve">konsumentom i przedsiębiorcom </w:t>
      </w:r>
      <w:r w:rsidRPr="005B2BC9">
        <w:t>6475</w:t>
      </w:r>
      <w:r w:rsidR="00106DCC" w:rsidRPr="005B2BC9">
        <w:t xml:space="preserve"> </w:t>
      </w:r>
      <w:r w:rsidR="00A74AA7" w:rsidRPr="005B2BC9">
        <w:t>porad prawnych z zakresu praw konsumentów i obrotu handlowego.</w:t>
      </w:r>
    </w:p>
    <w:p w:rsidR="00352AA1" w:rsidRPr="005B2BC9" w:rsidRDefault="00352AA1" w:rsidP="00E33D6D">
      <w:pPr>
        <w:ind w:firstLine="709"/>
        <w:jc w:val="both"/>
      </w:pPr>
    </w:p>
    <w:p w:rsidR="00D536DD" w:rsidRPr="00E9261A" w:rsidRDefault="00D536DD" w:rsidP="00E33D6D">
      <w:pPr>
        <w:ind w:firstLine="709"/>
        <w:jc w:val="both"/>
        <w:rPr>
          <w:i/>
        </w:rPr>
      </w:pPr>
      <w:r w:rsidRPr="00E9261A">
        <w:rPr>
          <w:i/>
        </w:rPr>
        <w:t>Zestawienie informacji o nieprawidłowościach oraz wniosków o mediację zł</w:t>
      </w:r>
      <w:r w:rsidR="005B2BC9" w:rsidRPr="00E9261A">
        <w:rPr>
          <w:i/>
        </w:rPr>
        <w:t>ożonych przez konsumentów w 2016</w:t>
      </w:r>
      <w:r w:rsidRPr="00E9261A">
        <w:rPr>
          <w:i/>
        </w:rPr>
        <w:t xml:space="preserve"> r. zawiera Tab. 3 znajdująca się na str. </w:t>
      </w:r>
      <w:r w:rsidR="00E9261A" w:rsidRPr="00E9261A">
        <w:rPr>
          <w:i/>
        </w:rPr>
        <w:t>28</w:t>
      </w:r>
      <w:r w:rsidR="00A74AA7" w:rsidRPr="00E9261A">
        <w:rPr>
          <w:i/>
        </w:rPr>
        <w:t xml:space="preserve"> S</w:t>
      </w:r>
      <w:r w:rsidRPr="00E9261A">
        <w:rPr>
          <w:i/>
        </w:rPr>
        <w:t>prawozdania.</w:t>
      </w:r>
    </w:p>
    <w:p w:rsidR="00E33D6D" w:rsidRPr="00E9261A" w:rsidRDefault="00E33D6D" w:rsidP="00E33D6D">
      <w:pPr>
        <w:ind w:firstLine="709"/>
        <w:jc w:val="both"/>
      </w:pPr>
    </w:p>
    <w:p w:rsidR="00AB6E48" w:rsidRPr="00E9261A" w:rsidRDefault="00AB6E48" w:rsidP="00E33D6D">
      <w:pPr>
        <w:ind w:firstLine="709"/>
        <w:jc w:val="both"/>
      </w:pPr>
    </w:p>
    <w:p w:rsidR="00A1744A" w:rsidRPr="00E9261A" w:rsidRDefault="0010155D" w:rsidP="004670DB">
      <w:pPr>
        <w:numPr>
          <w:ilvl w:val="0"/>
          <w:numId w:val="15"/>
        </w:numPr>
        <w:ind w:left="426" w:hanging="426"/>
        <w:jc w:val="both"/>
        <w:rPr>
          <w:b/>
        </w:rPr>
      </w:pPr>
      <w:r w:rsidRPr="00E9261A">
        <w:rPr>
          <w:b/>
        </w:rPr>
        <w:t>Stały Polubowny Sąd Konsumencki</w:t>
      </w:r>
    </w:p>
    <w:p w:rsidR="00E248EA" w:rsidRPr="005B2BC9" w:rsidRDefault="00E248EA" w:rsidP="0034753A">
      <w:pPr>
        <w:ind w:firstLine="708"/>
        <w:jc w:val="both"/>
      </w:pPr>
    </w:p>
    <w:p w:rsidR="00155215" w:rsidRPr="005B2BC9" w:rsidRDefault="005B2BC9" w:rsidP="0055053F">
      <w:pPr>
        <w:ind w:firstLine="708"/>
        <w:jc w:val="both"/>
      </w:pPr>
      <w:r w:rsidRPr="005B2BC9">
        <w:t>W 2016</w:t>
      </w:r>
      <w:r w:rsidR="00155215" w:rsidRPr="005B2BC9">
        <w:t xml:space="preserve"> r. do Stałego Polubownego Sądu Konsumenckiego w Białymstoku wpłynęło </w:t>
      </w:r>
      <w:r w:rsidRPr="005B2BC9">
        <w:t xml:space="preserve">9 </w:t>
      </w:r>
      <w:r w:rsidR="00155215" w:rsidRPr="005B2BC9">
        <w:t xml:space="preserve"> wniosków od konsumentów. </w:t>
      </w:r>
    </w:p>
    <w:p w:rsidR="000868E9" w:rsidRDefault="00155215" w:rsidP="0055053F">
      <w:pPr>
        <w:autoSpaceDE w:val="0"/>
        <w:jc w:val="both"/>
      </w:pPr>
      <w:r w:rsidRPr="00621E42">
        <w:rPr>
          <w:color w:val="FF0000"/>
        </w:rPr>
        <w:tab/>
      </w:r>
      <w:r w:rsidRPr="000868E9">
        <w:t xml:space="preserve">Ogólna wartość roszczeń zamknęła się kwotą </w:t>
      </w:r>
      <w:r w:rsidR="000868E9">
        <w:rPr>
          <w:b/>
          <w:bCs/>
        </w:rPr>
        <w:t>24 032 zł</w:t>
      </w:r>
      <w:r w:rsidR="000868E9">
        <w:rPr>
          <w:bCs/>
        </w:rPr>
        <w:t xml:space="preserve"> i </w:t>
      </w:r>
      <w:r w:rsidR="000868E9">
        <w:rPr>
          <w:b/>
          <w:bCs/>
        </w:rPr>
        <w:t xml:space="preserve">12,50 €. </w:t>
      </w:r>
      <w:r w:rsidR="000868E9">
        <w:t>Przedmiot sporu stanowiły między innymi obuwie, odzież, meble, zabawki, usługi remontowo - budowlane oraz usługi sklasyfikowane jako usługi inne (impreza turystyczna).</w:t>
      </w:r>
    </w:p>
    <w:p w:rsidR="000868E9" w:rsidRDefault="00155215" w:rsidP="0055053F">
      <w:pPr>
        <w:autoSpaceDE w:val="0"/>
        <w:jc w:val="both"/>
      </w:pPr>
      <w:r w:rsidRPr="00621E42">
        <w:rPr>
          <w:color w:val="FF0000"/>
        </w:rPr>
        <w:tab/>
      </w:r>
      <w:r w:rsidR="000868E9">
        <w:t xml:space="preserve">Wydano </w:t>
      </w:r>
      <w:r w:rsidR="000868E9">
        <w:rPr>
          <w:b/>
        </w:rPr>
        <w:t>1</w:t>
      </w:r>
      <w:r w:rsidR="000868E9">
        <w:t xml:space="preserve"> wyrok zasądzający roszczenie konsumenta. Strony zawarły </w:t>
      </w:r>
      <w:r w:rsidR="000868E9">
        <w:rPr>
          <w:b/>
          <w:bCs/>
        </w:rPr>
        <w:t>2</w:t>
      </w:r>
      <w:r w:rsidR="000868E9">
        <w:t xml:space="preserve"> ugody w postępowaniu wstępnym oraz </w:t>
      </w:r>
      <w:r w:rsidR="000868E9">
        <w:rPr>
          <w:b/>
        </w:rPr>
        <w:t>3</w:t>
      </w:r>
      <w:r w:rsidR="000868E9">
        <w:t xml:space="preserve"> – przed sądem. W </w:t>
      </w:r>
      <w:r w:rsidR="000868E9">
        <w:rPr>
          <w:b/>
          <w:bCs/>
        </w:rPr>
        <w:t>2</w:t>
      </w:r>
      <w:r w:rsidR="000868E9">
        <w:t xml:space="preserve"> przypadkach przedsiębiorcy odmówili podpisania zapisu na sąd polubowny, natomiast w </w:t>
      </w:r>
      <w:r w:rsidR="000868E9">
        <w:rPr>
          <w:b/>
          <w:bCs/>
        </w:rPr>
        <w:t>2</w:t>
      </w:r>
      <w:r w:rsidR="000868E9">
        <w:t xml:space="preserve"> nie udzielono odpowiedzi na wniosek, w związku z czym wnioski zwrócono. </w:t>
      </w:r>
    </w:p>
    <w:p w:rsidR="000868E9" w:rsidRPr="000868E9" w:rsidRDefault="000868E9" w:rsidP="0055053F">
      <w:pPr>
        <w:widowControl w:val="0"/>
        <w:suppressAutoHyphens/>
        <w:ind w:firstLine="708"/>
        <w:jc w:val="both"/>
        <w:rPr>
          <w:rFonts w:eastAsia="Times New Roman"/>
          <w:lang w:eastAsia="hi-IN" w:bidi="hi-IN"/>
        </w:rPr>
      </w:pPr>
      <w:r w:rsidRPr="000868E9">
        <w:rPr>
          <w:rFonts w:eastAsia="Times New Roman"/>
          <w:lang w:eastAsia="hi-IN" w:bidi="hi-IN"/>
        </w:rPr>
        <w:t>W 2016 r. miały miejsce 2 przypadki, w których przedsiębiorca uznał roszczenia konsumenta w postępowaniu wstępnym, po zawiadomieniu o wpływie wniosku do SPSK.</w:t>
      </w:r>
    </w:p>
    <w:p w:rsidR="00252F6D" w:rsidRPr="00E9261A" w:rsidRDefault="00252F6D" w:rsidP="00252F6D">
      <w:pPr>
        <w:ind w:firstLine="708"/>
        <w:jc w:val="both"/>
      </w:pPr>
    </w:p>
    <w:p w:rsidR="002862CA" w:rsidRPr="009714C4" w:rsidRDefault="002862CA" w:rsidP="004670DB">
      <w:pPr>
        <w:widowControl w:val="0"/>
        <w:numPr>
          <w:ilvl w:val="0"/>
          <w:numId w:val="15"/>
        </w:numPr>
        <w:autoSpaceDE w:val="0"/>
        <w:autoSpaceDN w:val="0"/>
        <w:adjustRightInd w:val="0"/>
        <w:ind w:left="426" w:hanging="426"/>
        <w:jc w:val="both"/>
        <w:rPr>
          <w:b/>
        </w:rPr>
      </w:pPr>
      <w:r w:rsidRPr="009714C4">
        <w:rPr>
          <w:b/>
        </w:rPr>
        <w:t>Publikacje w mediach informacji dotyczących wyników kontroli oraz praw konsumenta</w:t>
      </w:r>
    </w:p>
    <w:p w:rsidR="007D5410" w:rsidRPr="0055053F" w:rsidRDefault="007D5410" w:rsidP="007D5410">
      <w:pPr>
        <w:widowControl w:val="0"/>
        <w:autoSpaceDE w:val="0"/>
        <w:autoSpaceDN w:val="0"/>
        <w:adjustRightInd w:val="0"/>
        <w:ind w:firstLine="708"/>
        <w:jc w:val="both"/>
      </w:pPr>
    </w:p>
    <w:p w:rsidR="008F432D" w:rsidRPr="0055053F" w:rsidRDefault="007D5410" w:rsidP="00522090">
      <w:pPr>
        <w:widowControl w:val="0"/>
        <w:autoSpaceDE w:val="0"/>
        <w:autoSpaceDN w:val="0"/>
        <w:adjustRightInd w:val="0"/>
        <w:ind w:firstLine="708"/>
        <w:jc w:val="both"/>
      </w:pPr>
      <w:r w:rsidRPr="0055053F">
        <w:t xml:space="preserve">Za pośrednictwem lokalnych mediów oraz strony internetowej urzędu informowano </w:t>
      </w:r>
      <w:r w:rsidRPr="0055053F">
        <w:lastRenderedPageBreak/>
        <w:t>o wynikach prowadzonych kontroli tematycznych</w:t>
      </w:r>
      <w:r w:rsidR="004522BD" w:rsidRPr="0055053F">
        <w:t xml:space="preserve"> oraz prawach konsumentów</w:t>
      </w:r>
      <w:r w:rsidRPr="0055053F">
        <w:t>. W 201</w:t>
      </w:r>
      <w:r w:rsidR="00F42979" w:rsidRPr="0055053F">
        <w:t>6</w:t>
      </w:r>
      <w:r w:rsidRPr="0055053F">
        <w:t xml:space="preserve"> roku ukazał</w:t>
      </w:r>
      <w:r w:rsidR="005B4EF9" w:rsidRPr="0055053F">
        <w:t>y</w:t>
      </w:r>
      <w:r w:rsidRPr="0055053F">
        <w:t xml:space="preserve"> się </w:t>
      </w:r>
      <w:r w:rsidR="00320DFF" w:rsidRPr="0055053F">
        <w:rPr>
          <w:bCs/>
        </w:rPr>
        <w:t>4</w:t>
      </w:r>
      <w:r w:rsidR="00F42979" w:rsidRPr="0055053F">
        <w:rPr>
          <w:bCs/>
        </w:rPr>
        <w:t>3</w:t>
      </w:r>
      <w:r w:rsidRPr="0055053F">
        <w:t xml:space="preserve"> publikacj</w:t>
      </w:r>
      <w:r w:rsidR="005B4EF9" w:rsidRPr="0055053F">
        <w:t>e</w:t>
      </w:r>
      <w:r w:rsidRPr="0055053F">
        <w:t xml:space="preserve"> prasow</w:t>
      </w:r>
      <w:r w:rsidR="005B4EF9" w:rsidRPr="0055053F">
        <w:t>e</w:t>
      </w:r>
      <w:r w:rsidRPr="0055053F">
        <w:t xml:space="preserve"> i wyemitowano </w:t>
      </w:r>
      <w:r w:rsidR="0055053F" w:rsidRPr="0055053F">
        <w:t>6</w:t>
      </w:r>
      <w:r w:rsidR="00207795" w:rsidRPr="0055053F">
        <w:rPr>
          <w:bCs/>
        </w:rPr>
        <w:t>8</w:t>
      </w:r>
      <w:r w:rsidRPr="0055053F">
        <w:t xml:space="preserve"> audycji radiowych i telewizyjnych dotyczących działalności Inspektoratu.</w:t>
      </w:r>
    </w:p>
    <w:p w:rsidR="00BF15EB" w:rsidRPr="009714C4" w:rsidRDefault="00BF15EB" w:rsidP="0034753A">
      <w:pPr>
        <w:ind w:firstLine="708"/>
        <w:jc w:val="both"/>
        <w:rPr>
          <w:szCs w:val="22"/>
        </w:rPr>
      </w:pPr>
    </w:p>
    <w:p w:rsidR="00AB3C57" w:rsidRPr="009714C4" w:rsidRDefault="00D55E4A" w:rsidP="00DD71C0">
      <w:pPr>
        <w:ind w:firstLine="708"/>
        <w:jc w:val="both"/>
      </w:pPr>
      <w:r w:rsidRPr="009714C4">
        <w:t xml:space="preserve">Informacje o </w:t>
      </w:r>
      <w:r w:rsidR="002B19D6" w:rsidRPr="009714C4">
        <w:t xml:space="preserve">wynikach kontroli i </w:t>
      </w:r>
      <w:r w:rsidRPr="009714C4">
        <w:t xml:space="preserve">prowadzonej </w:t>
      </w:r>
      <w:proofErr w:type="spellStart"/>
      <w:r w:rsidR="002B19D6" w:rsidRPr="009714C4">
        <w:t>pozakontrolnej</w:t>
      </w:r>
      <w:proofErr w:type="spellEnd"/>
      <w:r w:rsidR="002B19D6" w:rsidRPr="009714C4">
        <w:t xml:space="preserve"> </w:t>
      </w:r>
      <w:r w:rsidRPr="009714C4">
        <w:t xml:space="preserve">działalności </w:t>
      </w:r>
      <w:r w:rsidR="00A4283F" w:rsidRPr="009714C4">
        <w:t xml:space="preserve">Inspektoratu </w:t>
      </w:r>
      <w:r w:rsidRPr="009714C4">
        <w:t xml:space="preserve">publikowano na stronie internetowej </w:t>
      </w:r>
      <w:hyperlink r:id="rId18" w:history="1">
        <w:r w:rsidR="00A21C55" w:rsidRPr="009714C4">
          <w:rPr>
            <w:rStyle w:val="Hipercze"/>
            <w:color w:val="auto"/>
          </w:rPr>
          <w:t>http://www.bialystok.wiih.gov.pl</w:t>
        </w:r>
      </w:hyperlink>
      <w:r w:rsidRPr="009714C4">
        <w:t>.</w:t>
      </w:r>
      <w:r w:rsidR="00D60FAA" w:rsidRPr="009714C4">
        <w:t xml:space="preserve"> </w:t>
      </w:r>
    </w:p>
    <w:p w:rsidR="00E9261A" w:rsidRDefault="00E9261A" w:rsidP="00A1744A">
      <w:pPr>
        <w:widowControl w:val="0"/>
        <w:autoSpaceDE w:val="0"/>
        <w:autoSpaceDN w:val="0"/>
        <w:adjustRightInd w:val="0"/>
        <w:jc w:val="center"/>
        <w:rPr>
          <w:b/>
          <w:sz w:val="28"/>
          <w:szCs w:val="28"/>
        </w:rPr>
      </w:pPr>
    </w:p>
    <w:p w:rsidR="00C4624E" w:rsidRDefault="00C4624E" w:rsidP="00A1744A">
      <w:pPr>
        <w:widowControl w:val="0"/>
        <w:autoSpaceDE w:val="0"/>
        <w:autoSpaceDN w:val="0"/>
        <w:adjustRightInd w:val="0"/>
        <w:jc w:val="center"/>
        <w:rPr>
          <w:b/>
          <w:sz w:val="28"/>
          <w:szCs w:val="28"/>
        </w:rPr>
      </w:pPr>
    </w:p>
    <w:p w:rsidR="002F67A3" w:rsidRPr="00F42979" w:rsidRDefault="00BD5CE0" w:rsidP="00A1744A">
      <w:pPr>
        <w:widowControl w:val="0"/>
        <w:autoSpaceDE w:val="0"/>
        <w:autoSpaceDN w:val="0"/>
        <w:adjustRightInd w:val="0"/>
        <w:jc w:val="center"/>
        <w:rPr>
          <w:b/>
          <w:sz w:val="28"/>
          <w:szCs w:val="28"/>
        </w:rPr>
      </w:pPr>
      <w:r w:rsidRPr="00F42979">
        <w:rPr>
          <w:b/>
          <w:sz w:val="28"/>
          <w:szCs w:val="28"/>
        </w:rPr>
        <w:t>IV.</w:t>
      </w:r>
      <w:r w:rsidR="002F67A3" w:rsidRPr="00F42979">
        <w:rPr>
          <w:b/>
          <w:sz w:val="28"/>
          <w:szCs w:val="28"/>
        </w:rPr>
        <w:t xml:space="preserve"> Działania podejmowane dla zapewnienia skutecznego i zgodnego z prawem funkcjonowania Inspektoratu.</w:t>
      </w:r>
    </w:p>
    <w:p w:rsidR="005B3E51" w:rsidRPr="005B3E51" w:rsidRDefault="005B3E51" w:rsidP="005B3E51">
      <w:pPr>
        <w:widowControl w:val="0"/>
        <w:autoSpaceDE w:val="0"/>
        <w:autoSpaceDN w:val="0"/>
        <w:adjustRightInd w:val="0"/>
        <w:jc w:val="both"/>
        <w:rPr>
          <w:rFonts w:eastAsia="Times New Roman"/>
          <w:b/>
        </w:rPr>
      </w:pPr>
    </w:p>
    <w:p w:rsidR="005B3E51" w:rsidRPr="005B3E51" w:rsidRDefault="005B3E51" w:rsidP="005B3E51">
      <w:pPr>
        <w:widowControl w:val="0"/>
        <w:autoSpaceDE w:val="0"/>
        <w:autoSpaceDN w:val="0"/>
        <w:adjustRightInd w:val="0"/>
        <w:jc w:val="both"/>
        <w:rPr>
          <w:rFonts w:eastAsia="Times New Roman"/>
        </w:rPr>
      </w:pPr>
      <w:r w:rsidRPr="005B3E51">
        <w:rPr>
          <w:rFonts w:eastAsia="Times New Roman"/>
        </w:rPr>
        <w:t>W celu zapewnienia skutecznego i zgodnego z prawem funkcjonowania Inspektoratu w 2016 r. podjęto następujące działania:</w:t>
      </w:r>
    </w:p>
    <w:p w:rsidR="005B3E51" w:rsidRPr="005B3E51" w:rsidRDefault="005B3E51" w:rsidP="005B3E51">
      <w:pPr>
        <w:widowControl w:val="0"/>
        <w:autoSpaceDE w:val="0"/>
        <w:autoSpaceDN w:val="0"/>
        <w:adjustRightInd w:val="0"/>
        <w:ind w:firstLine="709"/>
        <w:jc w:val="both"/>
        <w:rPr>
          <w:rFonts w:eastAsia="Times New Roman"/>
        </w:rPr>
      </w:pPr>
    </w:p>
    <w:p w:rsidR="005B3E51" w:rsidRPr="005B3E51" w:rsidRDefault="005B3E51" w:rsidP="005B3E51">
      <w:pPr>
        <w:widowControl w:val="0"/>
        <w:autoSpaceDE w:val="0"/>
        <w:autoSpaceDN w:val="0"/>
        <w:adjustRightInd w:val="0"/>
        <w:jc w:val="both"/>
        <w:rPr>
          <w:rFonts w:eastAsia="Times New Roman"/>
        </w:rPr>
      </w:pPr>
      <w:r w:rsidRPr="005B3E51">
        <w:rPr>
          <w:rFonts w:eastAsia="Times New Roman"/>
        </w:rPr>
        <w:t xml:space="preserve">przeprowadzono </w:t>
      </w:r>
      <w:r w:rsidRPr="005B3E51">
        <w:rPr>
          <w:rFonts w:eastAsia="Times New Roman"/>
          <w:b/>
        </w:rPr>
        <w:t>11 kontroli wewnętrznych</w:t>
      </w:r>
      <w:r w:rsidRPr="005B3E51">
        <w:rPr>
          <w:rFonts w:eastAsia="Times New Roman"/>
        </w:rPr>
        <w:t>, których tematem było między innymi zbadanie:</w:t>
      </w:r>
    </w:p>
    <w:p w:rsidR="005B3E51" w:rsidRPr="005B3E51" w:rsidRDefault="005B3E51" w:rsidP="005B3E51">
      <w:pPr>
        <w:widowControl w:val="0"/>
        <w:autoSpaceDE w:val="0"/>
        <w:autoSpaceDN w:val="0"/>
        <w:adjustRightInd w:val="0"/>
        <w:jc w:val="both"/>
        <w:rPr>
          <w:rFonts w:eastAsia="Times New Roman"/>
        </w:rPr>
      </w:pPr>
    </w:p>
    <w:p w:rsidR="005B3E51" w:rsidRPr="005B3E51" w:rsidRDefault="005B3E51" w:rsidP="004670DB">
      <w:pPr>
        <w:widowControl w:val="0"/>
        <w:numPr>
          <w:ilvl w:val="0"/>
          <w:numId w:val="13"/>
        </w:numPr>
        <w:autoSpaceDE w:val="0"/>
        <w:autoSpaceDN w:val="0"/>
        <w:adjustRightInd w:val="0"/>
        <w:jc w:val="both"/>
        <w:rPr>
          <w:rFonts w:eastAsia="Times New Roman"/>
        </w:rPr>
      </w:pPr>
      <w:r w:rsidRPr="005B3E51">
        <w:rPr>
          <w:rFonts w:eastAsia="Times New Roman"/>
        </w:rPr>
        <w:t>prawidłowości dokumentowania czynności i ustaleń z kontroli,</w:t>
      </w:r>
    </w:p>
    <w:p w:rsidR="005B3E51" w:rsidRPr="005B3E51" w:rsidRDefault="005B3E51" w:rsidP="004670DB">
      <w:pPr>
        <w:widowControl w:val="0"/>
        <w:numPr>
          <w:ilvl w:val="0"/>
          <w:numId w:val="13"/>
        </w:numPr>
        <w:autoSpaceDE w:val="0"/>
        <w:autoSpaceDN w:val="0"/>
        <w:adjustRightInd w:val="0"/>
        <w:jc w:val="both"/>
        <w:rPr>
          <w:rFonts w:eastAsia="Times New Roman"/>
        </w:rPr>
      </w:pPr>
      <w:r w:rsidRPr="005B3E51">
        <w:rPr>
          <w:rFonts w:eastAsia="Times New Roman"/>
        </w:rPr>
        <w:t>prawidłowości prowadzenia i dokumentowania postępowań mediacyjnych,</w:t>
      </w:r>
    </w:p>
    <w:p w:rsidR="005B3E51" w:rsidRPr="005B3E51" w:rsidRDefault="005B3E51" w:rsidP="004670DB">
      <w:pPr>
        <w:widowControl w:val="0"/>
        <w:numPr>
          <w:ilvl w:val="0"/>
          <w:numId w:val="13"/>
        </w:numPr>
        <w:autoSpaceDE w:val="0"/>
        <w:autoSpaceDN w:val="0"/>
        <w:adjustRightInd w:val="0"/>
        <w:jc w:val="both"/>
        <w:rPr>
          <w:rFonts w:eastAsia="Times New Roman"/>
        </w:rPr>
      </w:pPr>
      <w:r w:rsidRPr="005B3E51">
        <w:rPr>
          <w:rFonts w:eastAsia="Times New Roman"/>
        </w:rPr>
        <w:t>przestrzegania polityki bezpieczeństwa i instrukcji zarządzania systemem informatycznym w zakresie m.in. poprawności działania zabezpieczeń stacji roboczych i przestrzegania zasad zabezpieczania danych osobowych w poszczególnych pomieszczeniach,</w:t>
      </w:r>
    </w:p>
    <w:p w:rsidR="005B3E51" w:rsidRPr="005B3E51" w:rsidRDefault="005B3E51" w:rsidP="004670DB">
      <w:pPr>
        <w:widowControl w:val="0"/>
        <w:numPr>
          <w:ilvl w:val="0"/>
          <w:numId w:val="13"/>
        </w:numPr>
        <w:autoSpaceDE w:val="0"/>
        <w:autoSpaceDN w:val="0"/>
        <w:adjustRightInd w:val="0"/>
        <w:jc w:val="both"/>
        <w:rPr>
          <w:rFonts w:eastAsia="Times New Roman"/>
        </w:rPr>
      </w:pPr>
      <w:r w:rsidRPr="005B3E51">
        <w:rPr>
          <w:rFonts w:eastAsia="Times New Roman"/>
        </w:rPr>
        <w:t>prawidłowości kontroli merytorycznej i formalno-rachunkowej wybranych dokumentów,</w:t>
      </w:r>
    </w:p>
    <w:p w:rsidR="005B3E51" w:rsidRPr="005B3E51" w:rsidRDefault="005B3E51" w:rsidP="004670DB">
      <w:pPr>
        <w:widowControl w:val="0"/>
        <w:numPr>
          <w:ilvl w:val="0"/>
          <w:numId w:val="13"/>
        </w:numPr>
        <w:autoSpaceDE w:val="0"/>
        <w:autoSpaceDN w:val="0"/>
        <w:adjustRightInd w:val="0"/>
        <w:jc w:val="both"/>
        <w:rPr>
          <w:rFonts w:eastAsia="Times New Roman"/>
        </w:rPr>
      </w:pPr>
      <w:r w:rsidRPr="005B3E51">
        <w:rPr>
          <w:rFonts w:eastAsia="Times New Roman"/>
        </w:rPr>
        <w:t>prawidłowości i zasad prowadzenia dokumentacji oraz zgodności tych czynności z Instrukcją Kancelaryjną w systemie EZD.</w:t>
      </w:r>
    </w:p>
    <w:p w:rsidR="005B3E51" w:rsidRPr="005B3E51" w:rsidRDefault="005B3E51" w:rsidP="005B3E51">
      <w:pPr>
        <w:widowControl w:val="0"/>
        <w:autoSpaceDE w:val="0"/>
        <w:autoSpaceDN w:val="0"/>
        <w:adjustRightInd w:val="0"/>
        <w:ind w:left="360"/>
        <w:jc w:val="both"/>
        <w:rPr>
          <w:rFonts w:eastAsia="Times New Roman"/>
        </w:rPr>
      </w:pPr>
    </w:p>
    <w:p w:rsidR="005B3E51" w:rsidRPr="005B3E51" w:rsidRDefault="005B3E51" w:rsidP="005B3E51">
      <w:pPr>
        <w:widowControl w:val="0"/>
        <w:autoSpaceDE w:val="0"/>
        <w:autoSpaceDN w:val="0"/>
        <w:adjustRightInd w:val="0"/>
        <w:jc w:val="both"/>
        <w:rPr>
          <w:rFonts w:eastAsia="Times New Roman"/>
        </w:rPr>
      </w:pPr>
      <w:r w:rsidRPr="005B3E51">
        <w:rPr>
          <w:rFonts w:eastAsia="Times New Roman"/>
        </w:rPr>
        <w:t xml:space="preserve">Przeprowadzono </w:t>
      </w:r>
      <w:r w:rsidRPr="005B3E51">
        <w:rPr>
          <w:rFonts w:eastAsia="Times New Roman"/>
          <w:b/>
        </w:rPr>
        <w:t>27</w:t>
      </w:r>
      <w:r w:rsidRPr="005B3E51">
        <w:rPr>
          <w:rFonts w:eastAsia="Times New Roman"/>
        </w:rPr>
        <w:t xml:space="preserve"> </w:t>
      </w:r>
      <w:r w:rsidRPr="005B3E51">
        <w:rPr>
          <w:rFonts w:eastAsia="Times New Roman"/>
          <w:b/>
        </w:rPr>
        <w:t>szkoleń wewnętrznych</w:t>
      </w:r>
      <w:r w:rsidRPr="005B3E51">
        <w:rPr>
          <w:rFonts w:eastAsia="Times New Roman"/>
        </w:rPr>
        <w:t>, których tematyka dotyczyła zagadnień takich jak:</w:t>
      </w:r>
    </w:p>
    <w:p w:rsidR="005B3E51" w:rsidRPr="005B3E51" w:rsidRDefault="005B3E51" w:rsidP="005B3E51">
      <w:pPr>
        <w:widowControl w:val="0"/>
        <w:autoSpaceDE w:val="0"/>
        <w:autoSpaceDN w:val="0"/>
        <w:adjustRightInd w:val="0"/>
        <w:jc w:val="both"/>
        <w:rPr>
          <w:rFonts w:eastAsia="Times New Roman"/>
        </w:rPr>
      </w:pP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uwidacznianie cen w świetle nowego rozporządzenia cenowego,</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zmiany w Ustawie o zużytym sprzęcie elektrycznym i elektronicznym,</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zmiany w ustawie JHARS,</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szkolenie z istotnych zmian w przepisach, które mogą zostać wprowadzone w I poł. 2016 r.,</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zmiany w ustawie o ochronie zdrowia przed następstwami używania tytoniu i wyrobów tytoniowych,</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przypomnienie procedur postępowania w razie utrudniania lub uniemożliwiania kontroli, wniesienia sprzeciwu, otrzymania propozycji korupcyjnej,</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kodeks postępowania w sprawach o wykroczenia (przesłuchanie, wezwanie, pouczenie),</w:t>
      </w:r>
    </w:p>
    <w:p w:rsidR="005B3E51" w:rsidRPr="005B3E51" w:rsidRDefault="005B3E51" w:rsidP="004670DB">
      <w:pPr>
        <w:widowControl w:val="0"/>
        <w:numPr>
          <w:ilvl w:val="0"/>
          <w:numId w:val="14"/>
        </w:numPr>
        <w:autoSpaceDE w:val="0"/>
        <w:autoSpaceDN w:val="0"/>
        <w:adjustRightInd w:val="0"/>
        <w:ind w:left="709"/>
        <w:jc w:val="both"/>
        <w:rPr>
          <w:rFonts w:eastAsia="Times New Roman"/>
        </w:rPr>
      </w:pPr>
      <w:r w:rsidRPr="005B3E51">
        <w:rPr>
          <w:rFonts w:eastAsia="Times New Roman"/>
        </w:rPr>
        <w:t>szkolenie z istotnych zmian w przepisach, które mogą zostać wprowadzone w II poł. 2016 r.</w:t>
      </w:r>
    </w:p>
    <w:p w:rsidR="005B3E51" w:rsidRPr="005B3E51" w:rsidRDefault="005B3E51" w:rsidP="005B3E51">
      <w:pPr>
        <w:widowControl w:val="0"/>
        <w:autoSpaceDE w:val="0"/>
        <w:autoSpaceDN w:val="0"/>
        <w:adjustRightInd w:val="0"/>
        <w:ind w:left="349"/>
        <w:jc w:val="both"/>
        <w:rPr>
          <w:rFonts w:eastAsia="Times New Roman"/>
        </w:rPr>
      </w:pPr>
    </w:p>
    <w:p w:rsidR="005B3E51" w:rsidRPr="005B3E51" w:rsidRDefault="005B3E51" w:rsidP="005B3E51">
      <w:pPr>
        <w:widowControl w:val="0"/>
        <w:autoSpaceDE w:val="0"/>
        <w:autoSpaceDN w:val="0"/>
        <w:adjustRightInd w:val="0"/>
        <w:jc w:val="both"/>
        <w:rPr>
          <w:rFonts w:eastAsia="Times New Roman"/>
        </w:rPr>
      </w:pPr>
      <w:r w:rsidRPr="005B3E51">
        <w:rPr>
          <w:rFonts w:eastAsia="Times New Roman"/>
        </w:rPr>
        <w:t xml:space="preserve">Zapewniono udział pracowników w </w:t>
      </w:r>
      <w:r w:rsidRPr="005B3E51">
        <w:rPr>
          <w:rFonts w:eastAsia="Times New Roman"/>
          <w:b/>
        </w:rPr>
        <w:t>szkoleniach zewnętrznych.</w:t>
      </w:r>
    </w:p>
    <w:p w:rsidR="005B3E51" w:rsidRPr="005B3E51" w:rsidRDefault="005B3E51" w:rsidP="005B3E51">
      <w:pPr>
        <w:widowControl w:val="0"/>
        <w:autoSpaceDE w:val="0"/>
        <w:autoSpaceDN w:val="0"/>
        <w:adjustRightInd w:val="0"/>
        <w:ind w:left="426"/>
        <w:jc w:val="both"/>
        <w:rPr>
          <w:rFonts w:eastAsia="Times New Roman"/>
        </w:rPr>
      </w:pPr>
    </w:p>
    <w:p w:rsidR="005B3E51" w:rsidRPr="005B3E51" w:rsidRDefault="005B3E51" w:rsidP="005B3E51">
      <w:pPr>
        <w:widowControl w:val="0"/>
        <w:autoSpaceDE w:val="0"/>
        <w:autoSpaceDN w:val="0"/>
        <w:adjustRightInd w:val="0"/>
        <w:ind w:firstLine="708"/>
        <w:jc w:val="both"/>
        <w:rPr>
          <w:rFonts w:eastAsia="Times New Roman"/>
        </w:rPr>
      </w:pPr>
      <w:r w:rsidRPr="005B3E51">
        <w:rPr>
          <w:rFonts w:eastAsia="Times New Roman"/>
        </w:rPr>
        <w:t xml:space="preserve">Szkolenia pracowników Wojewódzkiego Inspektoratu Inspekcji Handlowej w Białymstoku  odbywały się  w oparciu o przyjęty  roczny plan szkoleń oraz na podstawie ofert wyspecjalizowanych firm szkolących ( m.in. Podlaski Urząd Wojewódzki,  Urząd Służby Cywilnej, UOKiK, WSSE, WIHARS, Ministerstwo Rolnictwa i Rozwoju Wsi, </w:t>
      </w:r>
      <w:r w:rsidRPr="005B3E51">
        <w:rPr>
          <w:rFonts w:eastAsia="Times New Roman"/>
        </w:rPr>
        <w:lastRenderedPageBreak/>
        <w:t xml:space="preserve">Departament Rynków Rolnych). </w:t>
      </w:r>
    </w:p>
    <w:p w:rsidR="005B3E51" w:rsidRPr="005B3E51" w:rsidRDefault="005B3E51" w:rsidP="005B3E51">
      <w:pPr>
        <w:widowControl w:val="0"/>
        <w:autoSpaceDE w:val="0"/>
        <w:autoSpaceDN w:val="0"/>
        <w:adjustRightInd w:val="0"/>
        <w:ind w:left="360"/>
        <w:jc w:val="both"/>
        <w:rPr>
          <w:rFonts w:eastAsia="Times New Roman"/>
        </w:rPr>
      </w:pPr>
    </w:p>
    <w:p w:rsidR="005B3E51" w:rsidRPr="005B3E51" w:rsidRDefault="005B3E51" w:rsidP="005B3E51">
      <w:pPr>
        <w:widowControl w:val="0"/>
        <w:autoSpaceDE w:val="0"/>
        <w:autoSpaceDN w:val="0"/>
        <w:adjustRightInd w:val="0"/>
        <w:ind w:firstLine="708"/>
        <w:jc w:val="both"/>
        <w:rPr>
          <w:rFonts w:eastAsia="Times New Roman"/>
        </w:rPr>
      </w:pPr>
      <w:r w:rsidRPr="005B3E51">
        <w:rPr>
          <w:rFonts w:eastAsia="Times New Roman"/>
        </w:rPr>
        <w:t>Szkolenia  prowadzone były przez odpowiednio wykwalifikowanych trenerów, którzy w formie wykładu, warsztatów, zajęć praktycznych  przeszkolili 42 osoby. Tematem szkoleń były zagadnienia z zakresu:</w:t>
      </w:r>
    </w:p>
    <w:p w:rsidR="005B3E51" w:rsidRPr="005B3E51" w:rsidRDefault="005B3E51" w:rsidP="005B3E51">
      <w:pPr>
        <w:widowControl w:val="0"/>
        <w:autoSpaceDE w:val="0"/>
        <w:autoSpaceDN w:val="0"/>
        <w:adjustRightInd w:val="0"/>
        <w:ind w:left="360"/>
        <w:jc w:val="both"/>
        <w:rPr>
          <w:rFonts w:eastAsia="Times New Roman"/>
        </w:rPr>
      </w:pP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dyrektyw nowego podejścia  związanych z nadzorem rynku, ogólnym bezpieczeństwem  produktów,</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zarządzania bezpieczeństwem informacji,</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ochrony danych osobowych,</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zarządzanie sobą w stresie,</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rozwój umiejętności menedżerskich,</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archiwizacji spraw dokumentowanych elektronicznie w systemie EZD i składów chronologicznych,</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obsługi programu LEX,</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ochrony informacji niejawnych,</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udostępniania planów i wyników kontroli oraz akt postępowania kontrolnego i administracyjnego w świetle przepisów ustawy o dostępie do informacji publicznej,</w:t>
      </w:r>
    </w:p>
    <w:p w:rsidR="005B3E51" w:rsidRPr="005B3E51" w:rsidRDefault="005B3E51" w:rsidP="004670DB">
      <w:pPr>
        <w:widowControl w:val="0"/>
        <w:numPr>
          <w:ilvl w:val="0"/>
          <w:numId w:val="31"/>
        </w:numPr>
        <w:autoSpaceDE w:val="0"/>
        <w:autoSpaceDN w:val="0"/>
        <w:adjustRightInd w:val="0"/>
        <w:ind w:left="709" w:hanging="371"/>
        <w:jc w:val="both"/>
        <w:rPr>
          <w:rFonts w:eastAsia="Times New Roman"/>
        </w:rPr>
      </w:pPr>
      <w:r w:rsidRPr="005B3E51">
        <w:rPr>
          <w:rFonts w:eastAsia="Times New Roman"/>
        </w:rPr>
        <w:t>zagadnień kontrolnych w systemach jakości  żywności.</w:t>
      </w:r>
    </w:p>
    <w:p w:rsidR="005B3E51" w:rsidRPr="005B3E51" w:rsidRDefault="005B3E51" w:rsidP="005B3E51">
      <w:pPr>
        <w:widowControl w:val="0"/>
        <w:autoSpaceDE w:val="0"/>
        <w:autoSpaceDN w:val="0"/>
        <w:adjustRightInd w:val="0"/>
        <w:ind w:left="1080"/>
        <w:jc w:val="both"/>
        <w:rPr>
          <w:rFonts w:eastAsia="Times New Roman"/>
        </w:rPr>
      </w:pPr>
    </w:p>
    <w:p w:rsidR="005B3E51" w:rsidRPr="005B3E51" w:rsidRDefault="005B3E51" w:rsidP="005B3E51">
      <w:pPr>
        <w:widowControl w:val="0"/>
        <w:autoSpaceDE w:val="0"/>
        <w:autoSpaceDN w:val="0"/>
        <w:adjustRightInd w:val="0"/>
        <w:ind w:firstLine="708"/>
        <w:jc w:val="both"/>
        <w:rPr>
          <w:rFonts w:eastAsia="Times New Roman"/>
        </w:rPr>
      </w:pPr>
      <w:r w:rsidRPr="005B3E51">
        <w:rPr>
          <w:rFonts w:eastAsia="Times New Roman"/>
        </w:rPr>
        <w:t xml:space="preserve">Wojewódzki Inspektor wydał </w:t>
      </w:r>
      <w:r w:rsidRPr="005B3E51">
        <w:rPr>
          <w:rFonts w:eastAsia="Times New Roman"/>
          <w:b/>
        </w:rPr>
        <w:t>26 zarządzeń</w:t>
      </w:r>
      <w:r w:rsidRPr="005B3E51">
        <w:rPr>
          <w:rFonts w:eastAsia="Times New Roman"/>
        </w:rPr>
        <w:t>, dzięki którym ukształtowany został system funkcjonowania Inspektoratu odpowiadający obowiązującym przepisom i tym samym stworzył podstawę optymalnego realizowania przez Inspektorat powierzonych zadań ustawowych.</w:t>
      </w:r>
    </w:p>
    <w:p w:rsidR="00BF15EB" w:rsidRPr="007304F4" w:rsidRDefault="00BF15EB" w:rsidP="00BF15EB">
      <w:pPr>
        <w:widowControl w:val="0"/>
        <w:autoSpaceDE w:val="0"/>
        <w:autoSpaceDN w:val="0"/>
        <w:adjustRightInd w:val="0"/>
        <w:ind w:left="1080"/>
        <w:jc w:val="both"/>
        <w:rPr>
          <w:rFonts w:eastAsia="Times New Roman"/>
        </w:rPr>
      </w:pPr>
    </w:p>
    <w:p w:rsidR="00117FEC" w:rsidRPr="00986410" w:rsidRDefault="00117FEC" w:rsidP="00117FEC">
      <w:pPr>
        <w:ind w:left="4253"/>
        <w:jc w:val="center"/>
        <w:rPr>
          <w:rFonts w:eastAsia="Times New Roman"/>
          <w:sz w:val="20"/>
          <w:szCs w:val="20"/>
        </w:rPr>
      </w:pPr>
      <w:r w:rsidRPr="00986410">
        <w:rPr>
          <w:rFonts w:eastAsia="Times New Roman"/>
          <w:sz w:val="20"/>
          <w:szCs w:val="20"/>
        </w:rPr>
        <w:t>PODLASKI WOJEWÓDZKI INSPEKTOR</w:t>
      </w:r>
    </w:p>
    <w:p w:rsidR="00117FEC" w:rsidRPr="00986410" w:rsidRDefault="00117FEC" w:rsidP="00117FEC">
      <w:pPr>
        <w:ind w:left="4253"/>
        <w:jc w:val="center"/>
        <w:rPr>
          <w:rFonts w:eastAsia="Times New Roman"/>
          <w:sz w:val="20"/>
          <w:szCs w:val="20"/>
        </w:rPr>
      </w:pPr>
      <w:r w:rsidRPr="00986410">
        <w:rPr>
          <w:rFonts w:eastAsia="Times New Roman"/>
          <w:sz w:val="20"/>
          <w:szCs w:val="20"/>
        </w:rPr>
        <w:t>INSPEKCJI HANDLOWEJ</w:t>
      </w:r>
    </w:p>
    <w:p w:rsidR="00117FEC" w:rsidRPr="00986410" w:rsidRDefault="00117FEC" w:rsidP="00117FEC">
      <w:pPr>
        <w:ind w:left="4253"/>
        <w:jc w:val="center"/>
        <w:rPr>
          <w:rFonts w:eastAsia="Times New Roman"/>
          <w:sz w:val="20"/>
          <w:szCs w:val="20"/>
        </w:rPr>
      </w:pPr>
      <w:r w:rsidRPr="00986410">
        <w:rPr>
          <w:rFonts w:eastAsia="Times New Roman"/>
          <w:sz w:val="20"/>
          <w:szCs w:val="20"/>
        </w:rPr>
        <w:t>w Białymstoku</w:t>
      </w:r>
    </w:p>
    <w:p w:rsidR="00117FEC" w:rsidRPr="00986410" w:rsidRDefault="00117FEC" w:rsidP="00117FEC">
      <w:pPr>
        <w:ind w:left="4253"/>
        <w:jc w:val="center"/>
        <w:rPr>
          <w:rFonts w:eastAsia="Times New Roman"/>
          <w:sz w:val="20"/>
          <w:szCs w:val="20"/>
        </w:rPr>
      </w:pPr>
    </w:p>
    <w:p w:rsidR="00D54B77" w:rsidRPr="00986410" w:rsidRDefault="00117FEC" w:rsidP="00BF15EB">
      <w:pPr>
        <w:ind w:left="4253"/>
        <w:jc w:val="center"/>
        <w:rPr>
          <w:rFonts w:ascii="Palatino Linotype" w:hAnsi="Palatino Linotype"/>
          <w:sz w:val="21"/>
          <w:szCs w:val="21"/>
        </w:rPr>
        <w:sectPr w:rsidR="00D54B77" w:rsidRPr="00986410" w:rsidSect="001D1AA6">
          <w:footerReference w:type="even" r:id="rId19"/>
          <w:footerReference w:type="default" r:id="rId20"/>
          <w:pgSz w:w="11906" w:h="16838"/>
          <w:pgMar w:top="1134" w:right="1418" w:bottom="851" w:left="1396" w:header="709" w:footer="709" w:gutter="284"/>
          <w:cols w:space="708"/>
          <w:titlePg/>
          <w:docGrid w:linePitch="360"/>
        </w:sectPr>
      </w:pPr>
      <w:r w:rsidRPr="00986410">
        <w:rPr>
          <w:rFonts w:eastAsia="Times New Roman"/>
          <w:i/>
          <w:sz w:val="20"/>
          <w:szCs w:val="20"/>
        </w:rPr>
        <w:t>Helena Łazowska</w:t>
      </w:r>
    </w:p>
    <w:p w:rsidR="00277AFF" w:rsidRPr="00E9261A" w:rsidRDefault="00AF5701" w:rsidP="004A3D00">
      <w:pPr>
        <w:widowControl w:val="0"/>
        <w:autoSpaceDE w:val="0"/>
        <w:autoSpaceDN w:val="0"/>
        <w:adjustRightInd w:val="0"/>
        <w:outlineLvl w:val="0"/>
        <w:rPr>
          <w:rFonts w:ascii="Palatino Linotype" w:hAnsi="Palatino Linotype"/>
          <w:b/>
          <w:sz w:val="20"/>
          <w:szCs w:val="20"/>
        </w:rPr>
      </w:pPr>
      <w:r w:rsidRPr="00E9261A">
        <w:rPr>
          <w:rFonts w:ascii="Palatino Linotype" w:hAnsi="Palatino Linotype"/>
          <w:b/>
          <w:sz w:val="20"/>
          <w:szCs w:val="20"/>
        </w:rPr>
        <w:lastRenderedPageBreak/>
        <w:t>Tabela nr 1. Ogólne z</w:t>
      </w:r>
      <w:r w:rsidR="002D70CE" w:rsidRPr="00E9261A">
        <w:rPr>
          <w:rFonts w:ascii="Palatino Linotype" w:hAnsi="Palatino Linotype"/>
          <w:b/>
          <w:sz w:val="20"/>
          <w:szCs w:val="20"/>
        </w:rPr>
        <w:t xml:space="preserve">estawienie wyników działalności </w:t>
      </w:r>
      <w:r w:rsidR="00F6486B" w:rsidRPr="00E9261A">
        <w:rPr>
          <w:rFonts w:ascii="Palatino Linotype" w:hAnsi="Palatino Linotype"/>
          <w:b/>
          <w:sz w:val="20"/>
          <w:szCs w:val="20"/>
        </w:rPr>
        <w:t xml:space="preserve">kontrolnej </w:t>
      </w:r>
      <w:r w:rsidR="002D70CE" w:rsidRPr="00E9261A">
        <w:rPr>
          <w:rFonts w:ascii="Palatino Linotype" w:hAnsi="Palatino Linotype"/>
          <w:b/>
          <w:sz w:val="20"/>
          <w:szCs w:val="20"/>
        </w:rPr>
        <w:t>Wojewódzkiego Inspektoratu Inspekcj</w:t>
      </w:r>
      <w:r w:rsidR="00D57AEF" w:rsidRPr="00E9261A">
        <w:rPr>
          <w:rFonts w:ascii="Palatino Linotype" w:hAnsi="Palatino Linotype"/>
          <w:b/>
          <w:sz w:val="20"/>
          <w:szCs w:val="20"/>
        </w:rPr>
        <w:t>i Handlowej w Białymstoku w 201</w:t>
      </w:r>
      <w:r w:rsidR="0055053F" w:rsidRPr="00E9261A">
        <w:rPr>
          <w:rFonts w:ascii="Palatino Linotype" w:hAnsi="Palatino Linotype"/>
          <w:b/>
          <w:sz w:val="20"/>
          <w:szCs w:val="20"/>
        </w:rPr>
        <w:t>6</w:t>
      </w:r>
      <w:r w:rsidR="003F377A" w:rsidRPr="00E9261A">
        <w:rPr>
          <w:rFonts w:ascii="Palatino Linotype" w:hAnsi="Palatino Linotype"/>
          <w:b/>
          <w:sz w:val="20"/>
          <w:szCs w:val="20"/>
        </w:rPr>
        <w:t xml:space="preserve"> </w:t>
      </w:r>
      <w:r w:rsidR="002D70CE" w:rsidRPr="00E9261A">
        <w:rPr>
          <w:rFonts w:ascii="Palatino Linotype" w:hAnsi="Palatino Linotype"/>
          <w:b/>
          <w:sz w:val="20"/>
          <w:szCs w:val="20"/>
        </w:rPr>
        <w:t>r.</w:t>
      </w:r>
    </w:p>
    <w:p w:rsidR="00106DCC" w:rsidRPr="00E9261A" w:rsidRDefault="00106DCC" w:rsidP="004A3D00">
      <w:pPr>
        <w:widowControl w:val="0"/>
        <w:autoSpaceDE w:val="0"/>
        <w:autoSpaceDN w:val="0"/>
        <w:adjustRightInd w:val="0"/>
        <w:outlineLvl w:val="0"/>
        <w:rPr>
          <w:rFonts w:ascii="Palatino Linotype" w:hAnsi="Palatino Linotype"/>
          <w:b/>
          <w:sz w:val="20"/>
          <w:szCs w:val="20"/>
        </w:rPr>
      </w:pPr>
    </w:p>
    <w:p w:rsidR="0026011D" w:rsidRPr="00E9261A" w:rsidRDefault="0026011D" w:rsidP="004A3D00">
      <w:pPr>
        <w:widowControl w:val="0"/>
        <w:autoSpaceDE w:val="0"/>
        <w:autoSpaceDN w:val="0"/>
        <w:adjustRightInd w:val="0"/>
        <w:outlineLvl w:val="0"/>
        <w:rPr>
          <w:rFonts w:ascii="Palatino Linotype" w:hAnsi="Palatino Linotype"/>
          <w:b/>
          <w:sz w:val="20"/>
          <w:szCs w:val="20"/>
        </w:rPr>
      </w:pPr>
    </w:p>
    <w:p w:rsidR="00813C89" w:rsidRPr="00621E42" w:rsidRDefault="00E9261A" w:rsidP="009F4E4F">
      <w:pPr>
        <w:widowControl w:val="0"/>
        <w:autoSpaceDE w:val="0"/>
        <w:autoSpaceDN w:val="0"/>
        <w:adjustRightInd w:val="0"/>
        <w:outlineLvl w:val="0"/>
        <w:rPr>
          <w:rFonts w:ascii="Palatino Linotype" w:hAnsi="Palatino Linotype"/>
          <w:b/>
          <w:color w:val="FF0000"/>
          <w:sz w:val="21"/>
          <w:szCs w:val="21"/>
        </w:rPr>
      </w:pPr>
      <w:r w:rsidRPr="00E9261A">
        <w:rPr>
          <w:noProof/>
        </w:rPr>
        <w:drawing>
          <wp:inline distT="0" distB="0" distL="0" distR="0" wp14:anchorId="0DC0FB21" wp14:editId="3F6EE5C6">
            <wp:extent cx="9143365" cy="4916673"/>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3365" cy="4916673"/>
                    </a:xfrm>
                    <a:prstGeom prst="rect">
                      <a:avLst/>
                    </a:prstGeom>
                    <a:noFill/>
                    <a:ln>
                      <a:noFill/>
                    </a:ln>
                  </pic:spPr>
                </pic:pic>
              </a:graphicData>
            </a:graphic>
          </wp:inline>
        </w:drawing>
      </w:r>
    </w:p>
    <w:p w:rsidR="00277AFF" w:rsidRPr="00621E42" w:rsidRDefault="00277AFF" w:rsidP="0034754A">
      <w:pPr>
        <w:widowControl w:val="0"/>
        <w:autoSpaceDE w:val="0"/>
        <w:autoSpaceDN w:val="0"/>
        <w:adjustRightInd w:val="0"/>
        <w:spacing w:line="360" w:lineRule="auto"/>
        <w:jc w:val="center"/>
        <w:rPr>
          <w:b/>
          <w:color w:val="FF0000"/>
          <w:sz w:val="8"/>
          <w:szCs w:val="8"/>
        </w:rPr>
      </w:pPr>
    </w:p>
    <w:p w:rsidR="00F5441A" w:rsidRPr="00621E42" w:rsidRDefault="00F5441A" w:rsidP="00471DD5">
      <w:pPr>
        <w:widowControl w:val="0"/>
        <w:autoSpaceDE w:val="0"/>
        <w:autoSpaceDN w:val="0"/>
        <w:adjustRightInd w:val="0"/>
        <w:spacing w:line="360" w:lineRule="auto"/>
        <w:jc w:val="both"/>
        <w:rPr>
          <w:b/>
          <w:color w:val="FF0000"/>
          <w:sz w:val="21"/>
          <w:szCs w:val="21"/>
        </w:rPr>
        <w:sectPr w:rsidR="00F5441A" w:rsidRPr="00621E42" w:rsidSect="000A0635">
          <w:pgSz w:w="16838" w:h="11906" w:orient="landscape"/>
          <w:pgMar w:top="1418" w:right="1418" w:bottom="1418" w:left="1021" w:header="709" w:footer="709" w:gutter="284"/>
          <w:cols w:space="708"/>
          <w:docGrid w:linePitch="360"/>
        </w:sectPr>
      </w:pPr>
    </w:p>
    <w:p w:rsidR="002D70CE" w:rsidRPr="00E9261A" w:rsidRDefault="00F5441A" w:rsidP="00CF15F0">
      <w:pPr>
        <w:widowControl w:val="0"/>
        <w:autoSpaceDE w:val="0"/>
        <w:autoSpaceDN w:val="0"/>
        <w:adjustRightInd w:val="0"/>
        <w:jc w:val="center"/>
        <w:rPr>
          <w:rFonts w:ascii="Palatino Linotype" w:hAnsi="Palatino Linotype"/>
          <w:b/>
          <w:sz w:val="22"/>
          <w:szCs w:val="22"/>
        </w:rPr>
      </w:pPr>
      <w:r w:rsidRPr="00E9261A">
        <w:rPr>
          <w:rFonts w:ascii="Palatino Linotype" w:hAnsi="Palatino Linotype"/>
          <w:b/>
          <w:sz w:val="20"/>
          <w:szCs w:val="20"/>
        </w:rPr>
        <w:lastRenderedPageBreak/>
        <w:t>Tabela nr 2</w:t>
      </w:r>
      <w:r w:rsidR="00797651" w:rsidRPr="00E9261A">
        <w:rPr>
          <w:rFonts w:ascii="Palatino Linotype" w:hAnsi="Palatino Linotype"/>
          <w:b/>
          <w:sz w:val="20"/>
          <w:szCs w:val="20"/>
        </w:rPr>
        <w:t>.</w:t>
      </w:r>
      <w:r w:rsidRPr="00E9261A">
        <w:rPr>
          <w:rFonts w:ascii="Palatino Linotype" w:hAnsi="Palatino Linotype"/>
          <w:b/>
          <w:sz w:val="20"/>
          <w:szCs w:val="20"/>
        </w:rPr>
        <w:t xml:space="preserve"> Zestawienie liczbowe wykorzystania ustale</w:t>
      </w:r>
      <w:r w:rsidR="002B30CC" w:rsidRPr="00E9261A">
        <w:rPr>
          <w:rFonts w:ascii="Palatino Linotype" w:hAnsi="Palatino Linotype"/>
          <w:b/>
          <w:sz w:val="20"/>
          <w:szCs w:val="20"/>
        </w:rPr>
        <w:t>ń</w:t>
      </w:r>
      <w:r w:rsidRPr="00E9261A">
        <w:rPr>
          <w:rFonts w:ascii="Palatino Linotype" w:hAnsi="Palatino Linotype"/>
          <w:b/>
          <w:sz w:val="20"/>
          <w:szCs w:val="20"/>
        </w:rPr>
        <w:t xml:space="preserve"> kontroli przez Wojewódzki Inspektorat Inspekcji</w:t>
      </w:r>
      <w:r w:rsidR="00D57AEF" w:rsidRPr="00E9261A">
        <w:rPr>
          <w:rFonts w:ascii="Palatino Linotype" w:hAnsi="Palatino Linotype"/>
          <w:b/>
          <w:sz w:val="20"/>
          <w:szCs w:val="20"/>
        </w:rPr>
        <w:t xml:space="preserve"> Handlowej w Białymstoku w</w:t>
      </w:r>
      <w:r w:rsidR="00D57AEF" w:rsidRPr="00E9261A">
        <w:rPr>
          <w:rFonts w:ascii="Palatino Linotype" w:hAnsi="Palatino Linotype"/>
          <w:b/>
          <w:sz w:val="22"/>
          <w:szCs w:val="22"/>
        </w:rPr>
        <w:t xml:space="preserve">  201</w:t>
      </w:r>
      <w:r w:rsidR="0055053F" w:rsidRPr="00E9261A">
        <w:rPr>
          <w:rFonts w:ascii="Palatino Linotype" w:hAnsi="Palatino Linotype"/>
          <w:b/>
          <w:sz w:val="22"/>
          <w:szCs w:val="22"/>
        </w:rPr>
        <w:t>6</w:t>
      </w:r>
      <w:r w:rsidR="00B23E06" w:rsidRPr="00E9261A">
        <w:rPr>
          <w:rFonts w:ascii="Palatino Linotype" w:hAnsi="Palatino Linotype"/>
          <w:b/>
          <w:sz w:val="22"/>
          <w:szCs w:val="22"/>
        </w:rPr>
        <w:t xml:space="preserve"> </w:t>
      </w:r>
      <w:r w:rsidRPr="00E9261A">
        <w:rPr>
          <w:rFonts w:ascii="Palatino Linotype" w:hAnsi="Palatino Linotype"/>
          <w:b/>
          <w:sz w:val="22"/>
          <w:szCs w:val="22"/>
        </w:rPr>
        <w:t>r.</w:t>
      </w:r>
    </w:p>
    <w:p w:rsidR="00F5441A" w:rsidRPr="00E9261A" w:rsidRDefault="00F5441A" w:rsidP="00471DD5">
      <w:pPr>
        <w:widowControl w:val="0"/>
        <w:autoSpaceDE w:val="0"/>
        <w:autoSpaceDN w:val="0"/>
        <w:adjustRightInd w:val="0"/>
        <w:spacing w:line="360" w:lineRule="auto"/>
        <w:jc w:val="both"/>
        <w:rPr>
          <w:b/>
          <w:sz w:val="17"/>
          <w:szCs w:val="17"/>
        </w:rPr>
      </w:pPr>
    </w:p>
    <w:p w:rsidR="00277AFF" w:rsidRPr="00E9261A" w:rsidRDefault="00277AFF" w:rsidP="00471DD5">
      <w:pPr>
        <w:widowControl w:val="0"/>
        <w:autoSpaceDE w:val="0"/>
        <w:autoSpaceDN w:val="0"/>
        <w:adjustRightInd w:val="0"/>
        <w:spacing w:line="360" w:lineRule="auto"/>
        <w:jc w:val="both"/>
        <w:rPr>
          <w:b/>
          <w:sz w:val="17"/>
          <w:szCs w:val="17"/>
        </w:rPr>
      </w:pPr>
    </w:p>
    <w:p w:rsidR="00F5441A" w:rsidRPr="00621E42" w:rsidRDefault="00E9261A" w:rsidP="00471DD5">
      <w:pPr>
        <w:widowControl w:val="0"/>
        <w:autoSpaceDE w:val="0"/>
        <w:autoSpaceDN w:val="0"/>
        <w:adjustRightInd w:val="0"/>
        <w:spacing w:line="360" w:lineRule="auto"/>
        <w:jc w:val="both"/>
        <w:rPr>
          <w:b/>
          <w:color w:val="FF0000"/>
          <w:sz w:val="21"/>
          <w:szCs w:val="21"/>
        </w:rPr>
      </w:pPr>
      <w:r w:rsidRPr="00E9261A">
        <w:rPr>
          <w:noProof/>
        </w:rPr>
        <w:drawing>
          <wp:inline distT="0" distB="0" distL="0" distR="0" wp14:anchorId="2736F51B" wp14:editId="0265C2B0">
            <wp:extent cx="5579110" cy="6819882"/>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110" cy="6819882"/>
                    </a:xfrm>
                    <a:prstGeom prst="rect">
                      <a:avLst/>
                    </a:prstGeom>
                    <a:noFill/>
                    <a:ln>
                      <a:noFill/>
                    </a:ln>
                  </pic:spPr>
                </pic:pic>
              </a:graphicData>
            </a:graphic>
          </wp:inline>
        </w:drawing>
      </w:r>
    </w:p>
    <w:p w:rsidR="00F5441A" w:rsidRPr="00E9261A" w:rsidRDefault="00F5441A" w:rsidP="00471DD5">
      <w:pPr>
        <w:widowControl w:val="0"/>
        <w:autoSpaceDE w:val="0"/>
        <w:autoSpaceDN w:val="0"/>
        <w:adjustRightInd w:val="0"/>
        <w:spacing w:line="360" w:lineRule="auto"/>
        <w:jc w:val="both"/>
        <w:rPr>
          <w:b/>
          <w:sz w:val="21"/>
          <w:szCs w:val="21"/>
        </w:rPr>
      </w:pPr>
    </w:p>
    <w:p w:rsidR="00F5441A" w:rsidRPr="00E9261A" w:rsidRDefault="00F5441A" w:rsidP="00471DD5">
      <w:pPr>
        <w:widowControl w:val="0"/>
        <w:autoSpaceDE w:val="0"/>
        <w:autoSpaceDN w:val="0"/>
        <w:adjustRightInd w:val="0"/>
        <w:spacing w:line="360" w:lineRule="auto"/>
        <w:jc w:val="both"/>
        <w:rPr>
          <w:b/>
          <w:sz w:val="21"/>
          <w:szCs w:val="21"/>
        </w:rPr>
      </w:pPr>
    </w:p>
    <w:p w:rsidR="00F5441A" w:rsidRPr="00E9261A" w:rsidRDefault="00F5441A" w:rsidP="00471DD5">
      <w:pPr>
        <w:widowControl w:val="0"/>
        <w:autoSpaceDE w:val="0"/>
        <w:autoSpaceDN w:val="0"/>
        <w:adjustRightInd w:val="0"/>
        <w:spacing w:line="360" w:lineRule="auto"/>
        <w:jc w:val="both"/>
        <w:rPr>
          <w:b/>
          <w:sz w:val="21"/>
          <w:szCs w:val="21"/>
        </w:rPr>
        <w:sectPr w:rsidR="00F5441A" w:rsidRPr="00E9261A" w:rsidSect="00D54B77">
          <w:pgSz w:w="11906" w:h="16838"/>
          <w:pgMar w:top="1418" w:right="1418" w:bottom="1021" w:left="1418" w:header="709" w:footer="709" w:gutter="284"/>
          <w:cols w:space="708"/>
          <w:docGrid w:linePitch="360"/>
        </w:sectPr>
      </w:pPr>
    </w:p>
    <w:p w:rsidR="003802C7" w:rsidRPr="00E9261A" w:rsidRDefault="00216A45" w:rsidP="00473CC0">
      <w:pPr>
        <w:widowControl w:val="0"/>
        <w:autoSpaceDE w:val="0"/>
        <w:autoSpaceDN w:val="0"/>
        <w:adjustRightInd w:val="0"/>
        <w:spacing w:line="360" w:lineRule="auto"/>
        <w:rPr>
          <w:sz w:val="20"/>
          <w:szCs w:val="20"/>
        </w:rPr>
      </w:pPr>
      <w:r w:rsidRPr="00E9261A">
        <w:rPr>
          <w:rFonts w:ascii="Palatino Linotype" w:hAnsi="Palatino Linotype"/>
          <w:b/>
          <w:sz w:val="20"/>
          <w:szCs w:val="20"/>
        </w:rPr>
        <w:lastRenderedPageBreak/>
        <w:t xml:space="preserve">Tabela nr </w:t>
      </w:r>
      <w:r w:rsidR="00A96D79" w:rsidRPr="00E9261A">
        <w:rPr>
          <w:rFonts w:ascii="Palatino Linotype" w:hAnsi="Palatino Linotype"/>
          <w:b/>
          <w:sz w:val="20"/>
          <w:szCs w:val="20"/>
        </w:rPr>
        <w:t>3</w:t>
      </w:r>
      <w:r w:rsidR="00A20A95" w:rsidRPr="00E9261A">
        <w:rPr>
          <w:rFonts w:ascii="Palatino Linotype" w:hAnsi="Palatino Linotype"/>
          <w:b/>
          <w:sz w:val="20"/>
          <w:szCs w:val="20"/>
        </w:rPr>
        <w:t>. Zestawienie informacji o nieprawidłowościach oraz wniosków o mediację złożonych przez konsumentów w 2</w:t>
      </w:r>
      <w:r w:rsidR="00363A34" w:rsidRPr="00E9261A">
        <w:rPr>
          <w:rFonts w:ascii="Palatino Linotype" w:hAnsi="Palatino Linotype"/>
          <w:b/>
          <w:sz w:val="20"/>
          <w:szCs w:val="20"/>
        </w:rPr>
        <w:t>01</w:t>
      </w:r>
      <w:r w:rsidR="0055053F" w:rsidRPr="00E9261A">
        <w:rPr>
          <w:rFonts w:ascii="Palatino Linotype" w:hAnsi="Palatino Linotype"/>
          <w:b/>
          <w:sz w:val="20"/>
          <w:szCs w:val="20"/>
        </w:rPr>
        <w:t>6</w:t>
      </w:r>
      <w:r w:rsidR="00B23E06" w:rsidRPr="00E9261A">
        <w:rPr>
          <w:rFonts w:ascii="Palatino Linotype" w:hAnsi="Palatino Linotype"/>
          <w:b/>
          <w:sz w:val="20"/>
          <w:szCs w:val="20"/>
        </w:rPr>
        <w:t xml:space="preserve"> </w:t>
      </w:r>
      <w:r w:rsidR="00A20A95" w:rsidRPr="00E9261A">
        <w:rPr>
          <w:rFonts w:ascii="Palatino Linotype" w:hAnsi="Palatino Linotype"/>
          <w:b/>
          <w:sz w:val="20"/>
          <w:szCs w:val="20"/>
        </w:rPr>
        <w:t>r.</w:t>
      </w:r>
    </w:p>
    <w:p w:rsidR="00621E42" w:rsidRPr="00621E42" w:rsidRDefault="00E9261A">
      <w:pPr>
        <w:widowControl w:val="0"/>
        <w:autoSpaceDE w:val="0"/>
        <w:autoSpaceDN w:val="0"/>
        <w:adjustRightInd w:val="0"/>
        <w:spacing w:line="360" w:lineRule="auto"/>
        <w:rPr>
          <w:color w:val="FF0000"/>
        </w:rPr>
      </w:pPr>
      <w:r w:rsidRPr="00E9261A">
        <w:rPr>
          <w:noProof/>
        </w:rPr>
        <w:drawing>
          <wp:inline distT="0" distB="0" distL="0" distR="0" wp14:anchorId="4BBCFF86" wp14:editId="2CA3853B">
            <wp:extent cx="9144000" cy="5538159"/>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3365" cy="5537774"/>
                    </a:xfrm>
                    <a:prstGeom prst="rect">
                      <a:avLst/>
                    </a:prstGeom>
                    <a:noFill/>
                    <a:ln>
                      <a:noFill/>
                    </a:ln>
                  </pic:spPr>
                </pic:pic>
              </a:graphicData>
            </a:graphic>
          </wp:inline>
        </w:drawing>
      </w:r>
    </w:p>
    <w:sectPr w:rsidR="00621E42" w:rsidRPr="00621E42" w:rsidSect="00304632">
      <w:pgSz w:w="16838" w:h="11906" w:orient="landscape"/>
      <w:pgMar w:top="1135" w:right="1418" w:bottom="1276" w:left="102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DF" w:rsidRPr="000A6068" w:rsidRDefault="00FD3EDF">
      <w:pPr>
        <w:rPr>
          <w:sz w:val="23"/>
          <w:szCs w:val="23"/>
        </w:rPr>
      </w:pPr>
      <w:r w:rsidRPr="000A6068">
        <w:rPr>
          <w:sz w:val="23"/>
          <w:szCs w:val="23"/>
        </w:rPr>
        <w:separator/>
      </w:r>
    </w:p>
  </w:endnote>
  <w:endnote w:type="continuationSeparator" w:id="0">
    <w:p w:rsidR="00FD3EDF" w:rsidRPr="000A6068" w:rsidRDefault="00FD3EDF">
      <w:pPr>
        <w:rPr>
          <w:sz w:val="23"/>
          <w:szCs w:val="23"/>
        </w:rPr>
      </w:pPr>
      <w:r w:rsidRPr="000A60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89" w:rsidRPr="000A6068" w:rsidRDefault="003F0889"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rsidR="003F0889" w:rsidRPr="000A6068" w:rsidRDefault="003F0889" w:rsidP="008E162A">
    <w:pPr>
      <w:pStyle w:val="Stopka"/>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89" w:rsidRPr="000A6068" w:rsidRDefault="003F0889"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F00BC3">
      <w:rPr>
        <w:rStyle w:val="Numerstrony"/>
        <w:noProof/>
        <w:sz w:val="23"/>
        <w:szCs w:val="23"/>
      </w:rPr>
      <w:t>5</w:t>
    </w:r>
    <w:r w:rsidRPr="000A6068">
      <w:rPr>
        <w:rStyle w:val="Numerstrony"/>
        <w:sz w:val="23"/>
        <w:szCs w:val="23"/>
      </w:rPr>
      <w:fldChar w:fldCharType="end"/>
    </w:r>
  </w:p>
  <w:p w:rsidR="003F0889" w:rsidRPr="000A6068" w:rsidRDefault="003F0889" w:rsidP="008E162A">
    <w:pPr>
      <w:pStyle w:val="Stopka"/>
      <w:ind w:right="360" w:firstLine="360"/>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DF" w:rsidRPr="000A6068" w:rsidRDefault="00FD3EDF">
      <w:pPr>
        <w:rPr>
          <w:sz w:val="23"/>
          <w:szCs w:val="23"/>
        </w:rPr>
      </w:pPr>
      <w:r w:rsidRPr="000A6068">
        <w:rPr>
          <w:sz w:val="23"/>
          <w:szCs w:val="23"/>
        </w:rPr>
        <w:separator/>
      </w:r>
    </w:p>
  </w:footnote>
  <w:footnote w:type="continuationSeparator" w:id="0">
    <w:p w:rsidR="00FD3EDF" w:rsidRPr="000A6068" w:rsidRDefault="00FD3EDF">
      <w:pPr>
        <w:rPr>
          <w:sz w:val="23"/>
          <w:szCs w:val="23"/>
        </w:rPr>
      </w:pPr>
      <w:r w:rsidRPr="000A606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38CBA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07BE87A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7"/>
    <w:multiLevelType w:val="singleLevel"/>
    <w:tmpl w:val="00000007"/>
    <w:name w:val="WW8Num7"/>
    <w:lvl w:ilvl="0">
      <w:start w:val="4"/>
      <w:numFmt w:val="upperRoman"/>
      <w:lvlText w:val="%1."/>
      <w:lvlJc w:val="right"/>
      <w:pPr>
        <w:tabs>
          <w:tab w:val="num" w:pos="720"/>
        </w:tabs>
        <w:ind w:left="720" w:hanging="180"/>
      </w:pPr>
    </w:lvl>
  </w:abstractNum>
  <w:abstractNum w:abstractNumId="3">
    <w:nsid w:val="0000000F"/>
    <w:multiLevelType w:val="singleLevel"/>
    <w:tmpl w:val="0000000F"/>
    <w:name w:val="WW8Num21"/>
    <w:lvl w:ilvl="0">
      <w:start w:val="1"/>
      <w:numFmt w:val="bullet"/>
      <w:lvlText w:val=""/>
      <w:lvlJc w:val="left"/>
      <w:pPr>
        <w:tabs>
          <w:tab w:val="num" w:pos="1428"/>
        </w:tabs>
        <w:ind w:left="1428" w:hanging="360"/>
      </w:pPr>
      <w:rPr>
        <w:rFonts w:ascii="Wingdings" w:hAnsi="Wingdings"/>
      </w:rPr>
    </w:lvl>
  </w:abstractNum>
  <w:abstractNum w:abstractNumId="4">
    <w:nsid w:val="00000012"/>
    <w:multiLevelType w:val="multilevel"/>
    <w:tmpl w:val="00000012"/>
    <w:name w:val="WW8Num2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6">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7">
    <w:nsid w:val="0000001D"/>
    <w:multiLevelType w:val="singleLevel"/>
    <w:tmpl w:val="0000001D"/>
    <w:name w:val="WW8Num39"/>
    <w:lvl w:ilvl="0">
      <w:start w:val="1"/>
      <w:numFmt w:val="bullet"/>
      <w:lvlText w:val=""/>
      <w:lvlJc w:val="left"/>
      <w:pPr>
        <w:tabs>
          <w:tab w:val="num" w:pos="900"/>
        </w:tabs>
        <w:ind w:left="900" w:hanging="360"/>
      </w:pPr>
      <w:rPr>
        <w:rFonts w:ascii="Wingdings" w:hAnsi="Wingdings"/>
      </w:rPr>
    </w:lvl>
  </w:abstractNum>
  <w:abstractNum w:abstractNumId="8">
    <w:nsid w:val="0000001E"/>
    <w:multiLevelType w:val="singleLevel"/>
    <w:tmpl w:val="0000001E"/>
    <w:name w:val="WW8Num40"/>
    <w:lvl w:ilvl="0">
      <w:start w:val="1"/>
      <w:numFmt w:val="bullet"/>
      <w:lvlText w:val=""/>
      <w:lvlJc w:val="left"/>
      <w:pPr>
        <w:tabs>
          <w:tab w:val="num" w:pos="900"/>
        </w:tabs>
        <w:ind w:left="900" w:hanging="360"/>
      </w:pPr>
      <w:rPr>
        <w:rFonts w:ascii="Symbol" w:hAnsi="Symbol"/>
      </w:rPr>
    </w:lvl>
  </w:abstractNum>
  <w:abstractNum w:abstractNumId="9">
    <w:nsid w:val="0000001F"/>
    <w:multiLevelType w:val="singleLevel"/>
    <w:tmpl w:val="F6B646A6"/>
    <w:name w:val="WW8Num41"/>
    <w:lvl w:ilvl="0">
      <w:start w:val="1"/>
      <w:numFmt w:val="bullet"/>
      <w:lvlText w:val=""/>
      <w:lvlJc w:val="left"/>
      <w:pPr>
        <w:tabs>
          <w:tab w:val="num" w:pos="1440"/>
        </w:tabs>
        <w:ind w:left="1440" w:hanging="360"/>
      </w:pPr>
      <w:rPr>
        <w:rFonts w:ascii="Wingdings" w:hAnsi="Wingdings"/>
        <w:color w:val="800000"/>
      </w:rPr>
    </w:lvl>
  </w:abstractNum>
  <w:abstractNum w:abstractNumId="10">
    <w:nsid w:val="00000020"/>
    <w:multiLevelType w:val="singleLevel"/>
    <w:tmpl w:val="00000020"/>
    <w:name w:val="WW8Num42"/>
    <w:lvl w:ilvl="0">
      <w:start w:val="1"/>
      <w:numFmt w:val="bullet"/>
      <w:lvlText w:val=""/>
      <w:lvlJc w:val="left"/>
      <w:pPr>
        <w:tabs>
          <w:tab w:val="num" w:pos="720"/>
        </w:tabs>
        <w:ind w:left="720" w:hanging="360"/>
      </w:pPr>
      <w:rPr>
        <w:rFonts w:ascii="Symbol" w:hAnsi="Symbol"/>
        <w:color w:val="000000"/>
      </w:rPr>
    </w:lvl>
  </w:abstractNum>
  <w:abstractNum w:abstractNumId="11">
    <w:nsid w:val="00000021"/>
    <w:multiLevelType w:val="singleLevel"/>
    <w:tmpl w:val="00000021"/>
    <w:name w:val="WW8Num43"/>
    <w:lvl w:ilvl="0">
      <w:start w:val="1"/>
      <w:numFmt w:val="bullet"/>
      <w:lvlText w:val=""/>
      <w:lvlJc w:val="left"/>
      <w:pPr>
        <w:tabs>
          <w:tab w:val="num" w:pos="1068"/>
        </w:tabs>
        <w:ind w:left="1068" w:hanging="360"/>
      </w:pPr>
      <w:rPr>
        <w:rFonts w:ascii="Symbol" w:hAnsi="Symbol"/>
      </w:rPr>
    </w:lvl>
  </w:abstractNum>
  <w:abstractNum w:abstractNumId="12">
    <w:nsid w:val="00000024"/>
    <w:multiLevelType w:val="singleLevel"/>
    <w:tmpl w:val="00000024"/>
    <w:name w:val="WW8Num46"/>
    <w:lvl w:ilvl="0">
      <w:start w:val="1"/>
      <w:numFmt w:val="bullet"/>
      <w:lvlText w:val=""/>
      <w:lvlJc w:val="left"/>
      <w:pPr>
        <w:tabs>
          <w:tab w:val="num" w:pos="720"/>
        </w:tabs>
        <w:ind w:left="720" w:hanging="360"/>
      </w:pPr>
      <w:rPr>
        <w:rFonts w:ascii="Symbol" w:hAnsi="Symbol"/>
        <w:sz w:val="16"/>
        <w:szCs w:val="16"/>
      </w:rPr>
    </w:lvl>
  </w:abstractNum>
  <w:abstractNum w:abstractNumId="13">
    <w:nsid w:val="00000025"/>
    <w:multiLevelType w:val="singleLevel"/>
    <w:tmpl w:val="00000025"/>
    <w:name w:val="WW8Num49"/>
    <w:lvl w:ilvl="0">
      <w:start w:val="1"/>
      <w:numFmt w:val="bullet"/>
      <w:lvlText w:val=""/>
      <w:lvlJc w:val="left"/>
      <w:pPr>
        <w:tabs>
          <w:tab w:val="num" w:pos="720"/>
        </w:tabs>
        <w:ind w:left="720" w:hanging="360"/>
      </w:pPr>
      <w:rPr>
        <w:rFonts w:ascii="Symbol" w:hAnsi="Symbol"/>
      </w:rPr>
    </w:lvl>
  </w:abstractNum>
  <w:abstractNum w:abstractNumId="14">
    <w:nsid w:val="00000026"/>
    <w:multiLevelType w:val="singleLevel"/>
    <w:tmpl w:val="00000026"/>
    <w:name w:val="WW8Num50"/>
    <w:lvl w:ilvl="0">
      <w:start w:val="1"/>
      <w:numFmt w:val="bullet"/>
      <w:lvlText w:val=""/>
      <w:lvlJc w:val="left"/>
      <w:pPr>
        <w:tabs>
          <w:tab w:val="num" w:pos="780"/>
        </w:tabs>
        <w:ind w:left="780" w:hanging="360"/>
      </w:pPr>
      <w:rPr>
        <w:rFonts w:ascii="Wingdings" w:hAnsi="Wingdings"/>
      </w:rPr>
    </w:lvl>
  </w:abstractNum>
  <w:abstractNum w:abstractNumId="15">
    <w:nsid w:val="00000027"/>
    <w:multiLevelType w:val="singleLevel"/>
    <w:tmpl w:val="00000027"/>
    <w:name w:val="WW8Num51"/>
    <w:lvl w:ilvl="0">
      <w:start w:val="1"/>
      <w:numFmt w:val="bullet"/>
      <w:lvlText w:val=""/>
      <w:lvlJc w:val="left"/>
      <w:pPr>
        <w:tabs>
          <w:tab w:val="num" w:pos="890"/>
        </w:tabs>
        <w:ind w:left="890" w:hanging="360"/>
      </w:pPr>
      <w:rPr>
        <w:rFonts w:ascii="Symbol" w:hAnsi="Symbol"/>
      </w:rPr>
    </w:lvl>
  </w:abstractNum>
  <w:abstractNum w:abstractNumId="16">
    <w:nsid w:val="00000028"/>
    <w:multiLevelType w:val="singleLevel"/>
    <w:tmpl w:val="00000028"/>
    <w:name w:val="WW8Num52"/>
    <w:lvl w:ilvl="0">
      <w:start w:val="1"/>
      <w:numFmt w:val="bullet"/>
      <w:lvlText w:val=""/>
      <w:lvlJc w:val="left"/>
      <w:pPr>
        <w:tabs>
          <w:tab w:val="num" w:pos="720"/>
        </w:tabs>
        <w:ind w:left="720" w:hanging="360"/>
      </w:pPr>
      <w:rPr>
        <w:rFonts w:ascii="Symbol" w:hAnsi="Symbol"/>
      </w:rPr>
    </w:lvl>
  </w:abstractNum>
  <w:abstractNum w:abstractNumId="17">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18">
    <w:nsid w:val="0000002E"/>
    <w:multiLevelType w:val="singleLevel"/>
    <w:tmpl w:val="0000002E"/>
    <w:name w:val="WW8Num58"/>
    <w:lvl w:ilvl="0">
      <w:start w:val="1"/>
      <w:numFmt w:val="bullet"/>
      <w:lvlText w:val=""/>
      <w:lvlJc w:val="left"/>
      <w:pPr>
        <w:tabs>
          <w:tab w:val="num" w:pos="1428"/>
        </w:tabs>
        <w:ind w:left="1428" w:hanging="360"/>
      </w:pPr>
      <w:rPr>
        <w:rFonts w:ascii="Symbol" w:hAnsi="Symbol"/>
        <w:color w:val="auto"/>
      </w:rPr>
    </w:lvl>
  </w:abstractNum>
  <w:abstractNum w:abstractNumId="19">
    <w:nsid w:val="0000002F"/>
    <w:multiLevelType w:val="singleLevel"/>
    <w:tmpl w:val="0000002F"/>
    <w:name w:val="WW8Num59"/>
    <w:lvl w:ilvl="0">
      <w:start w:val="1"/>
      <w:numFmt w:val="bullet"/>
      <w:lvlText w:val=""/>
      <w:lvlJc w:val="left"/>
      <w:pPr>
        <w:tabs>
          <w:tab w:val="num" w:pos="1109"/>
        </w:tabs>
        <w:ind w:left="1109" w:hanging="389"/>
      </w:pPr>
      <w:rPr>
        <w:rFonts w:ascii="Symbol" w:hAnsi="Symbol"/>
      </w:rPr>
    </w:lvl>
  </w:abstractNum>
  <w:abstractNum w:abstractNumId="20">
    <w:nsid w:val="021878A6"/>
    <w:multiLevelType w:val="hybridMultilevel"/>
    <w:tmpl w:val="76ECACD0"/>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1">
    <w:nsid w:val="0AB167A8"/>
    <w:multiLevelType w:val="hybridMultilevel"/>
    <w:tmpl w:val="B06CA5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0B590D36"/>
    <w:multiLevelType w:val="hybridMultilevel"/>
    <w:tmpl w:val="1CA2F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E144B21"/>
    <w:multiLevelType w:val="hybridMultilevel"/>
    <w:tmpl w:val="F5D2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0ECD0A2C"/>
    <w:multiLevelType w:val="hybridMultilevel"/>
    <w:tmpl w:val="23C0EEB2"/>
    <w:lvl w:ilvl="0" w:tplc="D3146804">
      <w:start w:val="1"/>
      <w:numFmt w:val="decimal"/>
      <w:lvlText w:val="%1."/>
      <w:lvlJc w:val="left"/>
      <w:pPr>
        <w:tabs>
          <w:tab w:val="num" w:pos="720"/>
        </w:tabs>
        <w:ind w:left="720" w:hanging="360"/>
      </w:pPr>
      <w:rPr>
        <w:rFonts w:hint="default"/>
      </w:rPr>
    </w:lvl>
    <w:lvl w:ilvl="1" w:tplc="9C92028C">
      <w:start w:val="1"/>
      <w:numFmt w:val="decimal"/>
      <w:lvlText w:val="%2."/>
      <w:lvlJc w:val="left"/>
      <w:pPr>
        <w:tabs>
          <w:tab w:val="num" w:pos="2505"/>
        </w:tabs>
        <w:ind w:left="2505" w:hanging="1425"/>
      </w:pPr>
      <w:rPr>
        <w:rFonts w:hint="default"/>
      </w:rPr>
    </w:lvl>
    <w:lvl w:ilvl="2" w:tplc="C89ECC84">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0095EDD"/>
    <w:multiLevelType w:val="hybridMultilevel"/>
    <w:tmpl w:val="017C4C5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10455B4E"/>
    <w:multiLevelType w:val="hybridMultilevel"/>
    <w:tmpl w:val="FE7476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3F97BF0"/>
    <w:multiLevelType w:val="hybridMultilevel"/>
    <w:tmpl w:val="09E02BF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28">
    <w:nsid w:val="14135639"/>
    <w:multiLevelType w:val="hybridMultilevel"/>
    <w:tmpl w:val="DAAA5A9E"/>
    <w:lvl w:ilvl="0" w:tplc="EB5EFE6A">
      <w:start w:val="2"/>
      <w:numFmt w:val="upperRoman"/>
      <w:lvlText w:val="%1."/>
      <w:lvlJc w:val="left"/>
      <w:pPr>
        <w:tabs>
          <w:tab w:val="num" w:pos="1080"/>
        </w:tabs>
        <w:ind w:left="1080" w:hanging="720"/>
      </w:pPr>
      <w:rPr>
        <w:rFonts w:hint="default"/>
      </w:rPr>
    </w:lvl>
    <w:lvl w:ilvl="1" w:tplc="D09212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69B5E76"/>
    <w:multiLevelType w:val="hybridMultilevel"/>
    <w:tmpl w:val="30882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2E2D69"/>
    <w:multiLevelType w:val="hybridMultilevel"/>
    <w:tmpl w:val="C3C05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0D41BB0"/>
    <w:multiLevelType w:val="hybridMultilevel"/>
    <w:tmpl w:val="A7841E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227B11C5"/>
    <w:multiLevelType w:val="hybridMultilevel"/>
    <w:tmpl w:val="B612858C"/>
    <w:lvl w:ilvl="0" w:tplc="84203BFE">
      <w:start w:val="1"/>
      <w:numFmt w:val="bullet"/>
      <w:lvlText w:val=""/>
      <w:lvlJc w:val="left"/>
      <w:pPr>
        <w:tabs>
          <w:tab w:val="num" w:pos="1620"/>
        </w:tabs>
        <w:ind w:left="1620" w:hanging="360"/>
      </w:pPr>
      <w:rPr>
        <w:rFonts w:ascii="Wingdings" w:hAnsi="Wingdings" w:hint="default"/>
      </w:rPr>
    </w:lvl>
    <w:lvl w:ilvl="1" w:tplc="0D3C151A">
      <w:start w:val="4"/>
      <w:numFmt w:val="decimal"/>
      <w:lvlText w:val="%2."/>
      <w:lvlJc w:val="left"/>
      <w:pPr>
        <w:tabs>
          <w:tab w:val="num" w:pos="2340"/>
        </w:tabs>
        <w:ind w:left="2340" w:hanging="360"/>
      </w:pPr>
      <w:rPr>
        <w:rFonts w:hint="default"/>
      </w:rPr>
    </w:lvl>
    <w:lvl w:ilvl="2" w:tplc="04150001">
      <w:start w:val="1"/>
      <w:numFmt w:val="bullet"/>
      <w:lvlText w:val=""/>
      <w:lvlJc w:val="left"/>
      <w:pPr>
        <w:tabs>
          <w:tab w:val="num" w:pos="3060"/>
        </w:tabs>
        <w:ind w:left="3060" w:hanging="360"/>
      </w:pPr>
      <w:rPr>
        <w:rFonts w:ascii="Symbol" w:hAnsi="Symbol"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3">
    <w:nsid w:val="23A81671"/>
    <w:multiLevelType w:val="hybridMultilevel"/>
    <w:tmpl w:val="2A7C4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A972B53"/>
    <w:multiLevelType w:val="hybridMultilevel"/>
    <w:tmpl w:val="62864B84"/>
    <w:lvl w:ilvl="0" w:tplc="84203BFE">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5">
    <w:nsid w:val="2E9077DC"/>
    <w:multiLevelType w:val="hybridMultilevel"/>
    <w:tmpl w:val="2270758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0F371B5"/>
    <w:multiLevelType w:val="hybridMultilevel"/>
    <w:tmpl w:val="F2A2F50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45742A2E"/>
    <w:multiLevelType w:val="hybridMultilevel"/>
    <w:tmpl w:val="CBD4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7A6920"/>
    <w:multiLevelType w:val="hybridMultilevel"/>
    <w:tmpl w:val="964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8736CAE"/>
    <w:multiLevelType w:val="hybridMultilevel"/>
    <w:tmpl w:val="5366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3B7E78"/>
    <w:multiLevelType w:val="hybridMultilevel"/>
    <w:tmpl w:val="C12EA3E8"/>
    <w:lvl w:ilvl="0" w:tplc="72CEADB0">
      <w:start w:val="1"/>
      <w:numFmt w:val="decimal"/>
      <w:lvlText w:val="%1."/>
      <w:lvlJc w:val="left"/>
      <w:pPr>
        <w:ind w:left="1429" w:hanging="360"/>
      </w:pPr>
      <w:rPr>
        <w:rFonts w:hint="default"/>
        <w:sz w:val="23"/>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DB1124E"/>
    <w:multiLevelType w:val="hybridMultilevel"/>
    <w:tmpl w:val="DED8C7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164130F"/>
    <w:multiLevelType w:val="hybridMultilevel"/>
    <w:tmpl w:val="C5EC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2302665"/>
    <w:multiLevelType w:val="hybridMultilevel"/>
    <w:tmpl w:val="4CD61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8712FB"/>
    <w:multiLevelType w:val="hybridMultilevel"/>
    <w:tmpl w:val="B98EEEAA"/>
    <w:lvl w:ilvl="0" w:tplc="E35029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4474AC"/>
    <w:multiLevelType w:val="hybridMultilevel"/>
    <w:tmpl w:val="99F288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76E0FE1"/>
    <w:multiLevelType w:val="hybridMultilevel"/>
    <w:tmpl w:val="C3FE593A"/>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nsid w:val="7C4778C6"/>
    <w:multiLevelType w:val="hybridMultilevel"/>
    <w:tmpl w:val="4152627A"/>
    <w:lvl w:ilvl="0" w:tplc="25825EE2">
      <w:start w:val="1"/>
      <w:numFmt w:val="bullet"/>
      <w:lvlText w:val=""/>
      <w:lvlJc w:val="left"/>
      <w:pPr>
        <w:tabs>
          <w:tab w:val="num" w:pos="510"/>
        </w:tabs>
        <w:ind w:left="510" w:hanging="34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C6E6158"/>
    <w:multiLevelType w:val="hybridMultilevel"/>
    <w:tmpl w:val="77DE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34"/>
  </w:num>
  <w:num w:numId="5">
    <w:abstractNumId w:val="45"/>
  </w:num>
  <w:num w:numId="6">
    <w:abstractNumId w:val="28"/>
  </w:num>
  <w:num w:numId="7">
    <w:abstractNumId w:val="26"/>
  </w:num>
  <w:num w:numId="8">
    <w:abstractNumId w:val="27"/>
  </w:num>
  <w:num w:numId="9">
    <w:abstractNumId w:val="30"/>
  </w:num>
  <w:num w:numId="10">
    <w:abstractNumId w:val="33"/>
  </w:num>
  <w:num w:numId="11">
    <w:abstractNumId w:val="23"/>
  </w:num>
  <w:num w:numId="12">
    <w:abstractNumId w:val="32"/>
  </w:num>
  <w:num w:numId="13">
    <w:abstractNumId w:val="29"/>
  </w:num>
  <w:num w:numId="14">
    <w:abstractNumId w:val="31"/>
  </w:num>
  <w:num w:numId="15">
    <w:abstractNumId w:val="40"/>
  </w:num>
  <w:num w:numId="16">
    <w:abstractNumId w:val="36"/>
  </w:num>
  <w:num w:numId="17">
    <w:abstractNumId w:val="25"/>
  </w:num>
  <w:num w:numId="18">
    <w:abstractNumId w:val="35"/>
  </w:num>
  <w:num w:numId="19">
    <w:abstractNumId w:val="46"/>
  </w:num>
  <w:num w:numId="20">
    <w:abstractNumId w:val="20"/>
  </w:num>
  <w:num w:numId="21">
    <w:abstractNumId w:val="41"/>
  </w:num>
  <w:num w:numId="22">
    <w:abstractNumId w:val="47"/>
  </w:num>
  <w:num w:numId="23">
    <w:abstractNumId w:val="42"/>
  </w:num>
  <w:num w:numId="24">
    <w:abstractNumId w:val="38"/>
  </w:num>
  <w:num w:numId="25">
    <w:abstractNumId w:val="43"/>
  </w:num>
  <w:num w:numId="26">
    <w:abstractNumId w:val="37"/>
  </w:num>
  <w:num w:numId="27">
    <w:abstractNumId w:val="48"/>
  </w:num>
  <w:num w:numId="28">
    <w:abstractNumId w:val="22"/>
  </w:num>
  <w:num w:numId="29">
    <w:abstractNumId w:val="39"/>
  </w:num>
  <w:num w:numId="30">
    <w:abstractNumId w:val="44"/>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a-Efekty3W1"/>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9"/>
    <w:rsid w:val="00001E96"/>
    <w:rsid w:val="00004222"/>
    <w:rsid w:val="00010E21"/>
    <w:rsid w:val="000113C9"/>
    <w:rsid w:val="00012AB6"/>
    <w:rsid w:val="00014A68"/>
    <w:rsid w:val="000154E4"/>
    <w:rsid w:val="0001722A"/>
    <w:rsid w:val="00020DD7"/>
    <w:rsid w:val="0003013C"/>
    <w:rsid w:val="000302E0"/>
    <w:rsid w:val="000339FC"/>
    <w:rsid w:val="00034FD4"/>
    <w:rsid w:val="000351D9"/>
    <w:rsid w:val="000446D8"/>
    <w:rsid w:val="0005106A"/>
    <w:rsid w:val="000610A0"/>
    <w:rsid w:val="0006119A"/>
    <w:rsid w:val="0006728F"/>
    <w:rsid w:val="00067AB2"/>
    <w:rsid w:val="000702E0"/>
    <w:rsid w:val="0007252D"/>
    <w:rsid w:val="00077458"/>
    <w:rsid w:val="00083C31"/>
    <w:rsid w:val="000868E9"/>
    <w:rsid w:val="00090611"/>
    <w:rsid w:val="00090857"/>
    <w:rsid w:val="00094233"/>
    <w:rsid w:val="00094F5C"/>
    <w:rsid w:val="00096BA4"/>
    <w:rsid w:val="00096D6D"/>
    <w:rsid w:val="000A061E"/>
    <w:rsid w:val="000A0635"/>
    <w:rsid w:val="000A5491"/>
    <w:rsid w:val="000A6068"/>
    <w:rsid w:val="000A6378"/>
    <w:rsid w:val="000B55BA"/>
    <w:rsid w:val="000C2C77"/>
    <w:rsid w:val="000C6982"/>
    <w:rsid w:val="000C6A81"/>
    <w:rsid w:val="000C7328"/>
    <w:rsid w:val="000D1408"/>
    <w:rsid w:val="000D565C"/>
    <w:rsid w:val="000E2BE6"/>
    <w:rsid w:val="000E309E"/>
    <w:rsid w:val="000E52B1"/>
    <w:rsid w:val="000F1B01"/>
    <w:rsid w:val="000F2044"/>
    <w:rsid w:val="000F2FE7"/>
    <w:rsid w:val="000F358B"/>
    <w:rsid w:val="000F5422"/>
    <w:rsid w:val="000F557D"/>
    <w:rsid w:val="000F72E9"/>
    <w:rsid w:val="0010155D"/>
    <w:rsid w:val="00101D40"/>
    <w:rsid w:val="0010212E"/>
    <w:rsid w:val="00104451"/>
    <w:rsid w:val="00105A83"/>
    <w:rsid w:val="00106C91"/>
    <w:rsid w:val="00106DCC"/>
    <w:rsid w:val="00107716"/>
    <w:rsid w:val="001151AE"/>
    <w:rsid w:val="001169E7"/>
    <w:rsid w:val="00117FEC"/>
    <w:rsid w:val="00120E95"/>
    <w:rsid w:val="00121BB5"/>
    <w:rsid w:val="00122537"/>
    <w:rsid w:val="0012621B"/>
    <w:rsid w:val="0013057C"/>
    <w:rsid w:val="0013366C"/>
    <w:rsid w:val="0013385D"/>
    <w:rsid w:val="00133953"/>
    <w:rsid w:val="001360D3"/>
    <w:rsid w:val="00136BD6"/>
    <w:rsid w:val="001441C6"/>
    <w:rsid w:val="001446BA"/>
    <w:rsid w:val="001523A4"/>
    <w:rsid w:val="00154006"/>
    <w:rsid w:val="00155215"/>
    <w:rsid w:val="00155734"/>
    <w:rsid w:val="00166AA3"/>
    <w:rsid w:val="00176713"/>
    <w:rsid w:val="0018324E"/>
    <w:rsid w:val="001860FB"/>
    <w:rsid w:val="00186245"/>
    <w:rsid w:val="0019143B"/>
    <w:rsid w:val="00192D9A"/>
    <w:rsid w:val="00193EEF"/>
    <w:rsid w:val="001944DE"/>
    <w:rsid w:val="0019543D"/>
    <w:rsid w:val="0019584A"/>
    <w:rsid w:val="001A120B"/>
    <w:rsid w:val="001A17B6"/>
    <w:rsid w:val="001A20C7"/>
    <w:rsid w:val="001A2473"/>
    <w:rsid w:val="001A5835"/>
    <w:rsid w:val="001A5885"/>
    <w:rsid w:val="001B070F"/>
    <w:rsid w:val="001B209E"/>
    <w:rsid w:val="001B3962"/>
    <w:rsid w:val="001B3ED7"/>
    <w:rsid w:val="001B44F8"/>
    <w:rsid w:val="001C1DC2"/>
    <w:rsid w:val="001C39B2"/>
    <w:rsid w:val="001C4F23"/>
    <w:rsid w:val="001C57F8"/>
    <w:rsid w:val="001C581D"/>
    <w:rsid w:val="001C6C38"/>
    <w:rsid w:val="001C7FC5"/>
    <w:rsid w:val="001D0BAD"/>
    <w:rsid w:val="001D132A"/>
    <w:rsid w:val="001D1500"/>
    <w:rsid w:val="001D1AA6"/>
    <w:rsid w:val="001D5F2B"/>
    <w:rsid w:val="001D6EF0"/>
    <w:rsid w:val="001E35A3"/>
    <w:rsid w:val="001E573B"/>
    <w:rsid w:val="001E5C8B"/>
    <w:rsid w:val="001F512F"/>
    <w:rsid w:val="0020378F"/>
    <w:rsid w:val="00204728"/>
    <w:rsid w:val="00207505"/>
    <w:rsid w:val="00207795"/>
    <w:rsid w:val="00210CD0"/>
    <w:rsid w:val="002117A0"/>
    <w:rsid w:val="00214138"/>
    <w:rsid w:val="0021599D"/>
    <w:rsid w:val="00216A45"/>
    <w:rsid w:val="00220BAE"/>
    <w:rsid w:val="00220C2B"/>
    <w:rsid w:val="002247D4"/>
    <w:rsid w:val="00226B1F"/>
    <w:rsid w:val="00226C31"/>
    <w:rsid w:val="00230609"/>
    <w:rsid w:val="00235D15"/>
    <w:rsid w:val="002405B7"/>
    <w:rsid w:val="00240D39"/>
    <w:rsid w:val="00241D8E"/>
    <w:rsid w:val="0024249E"/>
    <w:rsid w:val="002424F7"/>
    <w:rsid w:val="00243203"/>
    <w:rsid w:val="00247F3C"/>
    <w:rsid w:val="002525D0"/>
    <w:rsid w:val="00252F6D"/>
    <w:rsid w:val="00253701"/>
    <w:rsid w:val="002556E0"/>
    <w:rsid w:val="00256E4A"/>
    <w:rsid w:val="0026011D"/>
    <w:rsid w:val="00260354"/>
    <w:rsid w:val="002628D1"/>
    <w:rsid w:val="00271294"/>
    <w:rsid w:val="00274736"/>
    <w:rsid w:val="00277AFF"/>
    <w:rsid w:val="0028034E"/>
    <w:rsid w:val="00280FC7"/>
    <w:rsid w:val="00282468"/>
    <w:rsid w:val="002862CA"/>
    <w:rsid w:val="002873FC"/>
    <w:rsid w:val="00291BE0"/>
    <w:rsid w:val="0029704C"/>
    <w:rsid w:val="002A190E"/>
    <w:rsid w:val="002A2759"/>
    <w:rsid w:val="002B0E73"/>
    <w:rsid w:val="002B1523"/>
    <w:rsid w:val="002B19D6"/>
    <w:rsid w:val="002B30CC"/>
    <w:rsid w:val="002B5464"/>
    <w:rsid w:val="002C23E4"/>
    <w:rsid w:val="002C28DE"/>
    <w:rsid w:val="002C386D"/>
    <w:rsid w:val="002C38C0"/>
    <w:rsid w:val="002C4DA5"/>
    <w:rsid w:val="002C52A7"/>
    <w:rsid w:val="002C5E8C"/>
    <w:rsid w:val="002D04A6"/>
    <w:rsid w:val="002D15E7"/>
    <w:rsid w:val="002D231A"/>
    <w:rsid w:val="002D70CE"/>
    <w:rsid w:val="002D7481"/>
    <w:rsid w:val="002E247E"/>
    <w:rsid w:val="002E43A6"/>
    <w:rsid w:val="002E60D7"/>
    <w:rsid w:val="002F3FB6"/>
    <w:rsid w:val="002F67A3"/>
    <w:rsid w:val="00301407"/>
    <w:rsid w:val="003033D6"/>
    <w:rsid w:val="00304632"/>
    <w:rsid w:val="003070A0"/>
    <w:rsid w:val="003073AD"/>
    <w:rsid w:val="00311488"/>
    <w:rsid w:val="00314466"/>
    <w:rsid w:val="0031780F"/>
    <w:rsid w:val="00320DFF"/>
    <w:rsid w:val="00323781"/>
    <w:rsid w:val="003268B6"/>
    <w:rsid w:val="00326982"/>
    <w:rsid w:val="00327EAB"/>
    <w:rsid w:val="003330E4"/>
    <w:rsid w:val="00334B84"/>
    <w:rsid w:val="00335144"/>
    <w:rsid w:val="0034146E"/>
    <w:rsid w:val="00344381"/>
    <w:rsid w:val="0034753A"/>
    <w:rsid w:val="0034754A"/>
    <w:rsid w:val="0034761D"/>
    <w:rsid w:val="00352AA1"/>
    <w:rsid w:val="00355122"/>
    <w:rsid w:val="003605D6"/>
    <w:rsid w:val="00362928"/>
    <w:rsid w:val="00363A34"/>
    <w:rsid w:val="00364D2E"/>
    <w:rsid w:val="003705CC"/>
    <w:rsid w:val="00370992"/>
    <w:rsid w:val="00373E02"/>
    <w:rsid w:val="00374185"/>
    <w:rsid w:val="0037632F"/>
    <w:rsid w:val="00376B12"/>
    <w:rsid w:val="003802C7"/>
    <w:rsid w:val="00380751"/>
    <w:rsid w:val="00390BC8"/>
    <w:rsid w:val="003925A3"/>
    <w:rsid w:val="00393A23"/>
    <w:rsid w:val="00394E51"/>
    <w:rsid w:val="003A743F"/>
    <w:rsid w:val="003B0802"/>
    <w:rsid w:val="003B2053"/>
    <w:rsid w:val="003B56C3"/>
    <w:rsid w:val="003B6D10"/>
    <w:rsid w:val="003B6F74"/>
    <w:rsid w:val="003B71B2"/>
    <w:rsid w:val="003B7671"/>
    <w:rsid w:val="003B7895"/>
    <w:rsid w:val="003C0E3E"/>
    <w:rsid w:val="003C1090"/>
    <w:rsid w:val="003C22C1"/>
    <w:rsid w:val="003C4288"/>
    <w:rsid w:val="003C507D"/>
    <w:rsid w:val="003C593D"/>
    <w:rsid w:val="003D0CDE"/>
    <w:rsid w:val="003D50EF"/>
    <w:rsid w:val="003E00DE"/>
    <w:rsid w:val="003E15AE"/>
    <w:rsid w:val="003E1C4D"/>
    <w:rsid w:val="003E3050"/>
    <w:rsid w:val="003E50B4"/>
    <w:rsid w:val="003E6649"/>
    <w:rsid w:val="003F0889"/>
    <w:rsid w:val="003F1FAB"/>
    <w:rsid w:val="003F2A43"/>
    <w:rsid w:val="003F32C4"/>
    <w:rsid w:val="003F377A"/>
    <w:rsid w:val="003F3FC9"/>
    <w:rsid w:val="003F491A"/>
    <w:rsid w:val="003F798E"/>
    <w:rsid w:val="00400491"/>
    <w:rsid w:val="00401035"/>
    <w:rsid w:val="004076B9"/>
    <w:rsid w:val="00415F05"/>
    <w:rsid w:val="00421D58"/>
    <w:rsid w:val="00426884"/>
    <w:rsid w:val="00426E58"/>
    <w:rsid w:val="00433AB5"/>
    <w:rsid w:val="00440BF8"/>
    <w:rsid w:val="00442654"/>
    <w:rsid w:val="004430E6"/>
    <w:rsid w:val="00447330"/>
    <w:rsid w:val="004503A0"/>
    <w:rsid w:val="00451ADB"/>
    <w:rsid w:val="004522BD"/>
    <w:rsid w:val="00454B95"/>
    <w:rsid w:val="00456F6B"/>
    <w:rsid w:val="00465A55"/>
    <w:rsid w:val="004670DB"/>
    <w:rsid w:val="004708E7"/>
    <w:rsid w:val="0047104F"/>
    <w:rsid w:val="00471DD5"/>
    <w:rsid w:val="0047369F"/>
    <w:rsid w:val="00473CC0"/>
    <w:rsid w:val="00474534"/>
    <w:rsid w:val="0047701C"/>
    <w:rsid w:val="0048105E"/>
    <w:rsid w:val="00481EDF"/>
    <w:rsid w:val="00484374"/>
    <w:rsid w:val="004874A7"/>
    <w:rsid w:val="00491D07"/>
    <w:rsid w:val="0049241C"/>
    <w:rsid w:val="0049422C"/>
    <w:rsid w:val="004A0E54"/>
    <w:rsid w:val="004A1370"/>
    <w:rsid w:val="004A345E"/>
    <w:rsid w:val="004A37DB"/>
    <w:rsid w:val="004A3D00"/>
    <w:rsid w:val="004A3F88"/>
    <w:rsid w:val="004A7978"/>
    <w:rsid w:val="004B0440"/>
    <w:rsid w:val="004B2212"/>
    <w:rsid w:val="004B589E"/>
    <w:rsid w:val="004C0E30"/>
    <w:rsid w:val="004C3095"/>
    <w:rsid w:val="004C3DA5"/>
    <w:rsid w:val="004C6C89"/>
    <w:rsid w:val="004C6C8D"/>
    <w:rsid w:val="004D1C5C"/>
    <w:rsid w:val="004D2C9F"/>
    <w:rsid w:val="004D2FF8"/>
    <w:rsid w:val="004D5578"/>
    <w:rsid w:val="004D669C"/>
    <w:rsid w:val="004E05C0"/>
    <w:rsid w:val="004E17AD"/>
    <w:rsid w:val="004E29C0"/>
    <w:rsid w:val="004E2D41"/>
    <w:rsid w:val="004E7F04"/>
    <w:rsid w:val="004F0473"/>
    <w:rsid w:val="004F0AB7"/>
    <w:rsid w:val="004F0B67"/>
    <w:rsid w:val="005003E2"/>
    <w:rsid w:val="0050058D"/>
    <w:rsid w:val="00500B39"/>
    <w:rsid w:val="00503BA6"/>
    <w:rsid w:val="005057F0"/>
    <w:rsid w:val="00516975"/>
    <w:rsid w:val="0052011C"/>
    <w:rsid w:val="00522090"/>
    <w:rsid w:val="0052594C"/>
    <w:rsid w:val="0053345B"/>
    <w:rsid w:val="00533729"/>
    <w:rsid w:val="005349ED"/>
    <w:rsid w:val="00542861"/>
    <w:rsid w:val="0055053F"/>
    <w:rsid w:val="00551E3D"/>
    <w:rsid w:val="0055612F"/>
    <w:rsid w:val="00560AE8"/>
    <w:rsid w:val="0056644E"/>
    <w:rsid w:val="0057287A"/>
    <w:rsid w:val="00573F98"/>
    <w:rsid w:val="00576844"/>
    <w:rsid w:val="005768BA"/>
    <w:rsid w:val="00581316"/>
    <w:rsid w:val="005817AF"/>
    <w:rsid w:val="00584A74"/>
    <w:rsid w:val="00584BB7"/>
    <w:rsid w:val="0058608E"/>
    <w:rsid w:val="00590EB0"/>
    <w:rsid w:val="00593249"/>
    <w:rsid w:val="00594046"/>
    <w:rsid w:val="00595336"/>
    <w:rsid w:val="0059694B"/>
    <w:rsid w:val="00596B53"/>
    <w:rsid w:val="00597F2B"/>
    <w:rsid w:val="005A06A6"/>
    <w:rsid w:val="005A6974"/>
    <w:rsid w:val="005A791A"/>
    <w:rsid w:val="005B2BC9"/>
    <w:rsid w:val="005B3E51"/>
    <w:rsid w:val="005B4EF9"/>
    <w:rsid w:val="005B53A6"/>
    <w:rsid w:val="005B65F0"/>
    <w:rsid w:val="005C0B3A"/>
    <w:rsid w:val="005C15A2"/>
    <w:rsid w:val="005C4446"/>
    <w:rsid w:val="005C4EF5"/>
    <w:rsid w:val="005C7C94"/>
    <w:rsid w:val="005D5F77"/>
    <w:rsid w:val="005E176F"/>
    <w:rsid w:val="005E1901"/>
    <w:rsid w:val="005E39B2"/>
    <w:rsid w:val="005E6406"/>
    <w:rsid w:val="005F2916"/>
    <w:rsid w:val="005F2D60"/>
    <w:rsid w:val="005F5EB8"/>
    <w:rsid w:val="00600EF0"/>
    <w:rsid w:val="00601F4E"/>
    <w:rsid w:val="00604DB8"/>
    <w:rsid w:val="00604E99"/>
    <w:rsid w:val="00606569"/>
    <w:rsid w:val="00610731"/>
    <w:rsid w:val="00614A8E"/>
    <w:rsid w:val="006172FC"/>
    <w:rsid w:val="00617563"/>
    <w:rsid w:val="00621E42"/>
    <w:rsid w:val="006225F4"/>
    <w:rsid w:val="00623712"/>
    <w:rsid w:val="00630C6C"/>
    <w:rsid w:val="00633608"/>
    <w:rsid w:val="006413C2"/>
    <w:rsid w:val="0064143E"/>
    <w:rsid w:val="0064469D"/>
    <w:rsid w:val="00645226"/>
    <w:rsid w:val="00654629"/>
    <w:rsid w:val="00663653"/>
    <w:rsid w:val="00664E20"/>
    <w:rsid w:val="0066567B"/>
    <w:rsid w:val="00665938"/>
    <w:rsid w:val="0066594D"/>
    <w:rsid w:val="00665AC0"/>
    <w:rsid w:val="0067177B"/>
    <w:rsid w:val="006740FE"/>
    <w:rsid w:val="006744B0"/>
    <w:rsid w:val="00677C68"/>
    <w:rsid w:val="0068231C"/>
    <w:rsid w:val="00691159"/>
    <w:rsid w:val="0069384C"/>
    <w:rsid w:val="00694FF6"/>
    <w:rsid w:val="006A42E6"/>
    <w:rsid w:val="006A42EB"/>
    <w:rsid w:val="006A449F"/>
    <w:rsid w:val="006A464A"/>
    <w:rsid w:val="006B6AC9"/>
    <w:rsid w:val="006B79F9"/>
    <w:rsid w:val="006C04C4"/>
    <w:rsid w:val="006C2703"/>
    <w:rsid w:val="006C69AE"/>
    <w:rsid w:val="006D4A96"/>
    <w:rsid w:val="006E4E95"/>
    <w:rsid w:val="006E6D95"/>
    <w:rsid w:val="006F00DF"/>
    <w:rsid w:val="006F00FD"/>
    <w:rsid w:val="00702A50"/>
    <w:rsid w:val="00703FAF"/>
    <w:rsid w:val="0071054C"/>
    <w:rsid w:val="00711C6E"/>
    <w:rsid w:val="007139EB"/>
    <w:rsid w:val="00715CAD"/>
    <w:rsid w:val="0071641D"/>
    <w:rsid w:val="0072102F"/>
    <w:rsid w:val="00724729"/>
    <w:rsid w:val="007259F3"/>
    <w:rsid w:val="00726A53"/>
    <w:rsid w:val="007304F4"/>
    <w:rsid w:val="00732C2F"/>
    <w:rsid w:val="007378ED"/>
    <w:rsid w:val="0074676A"/>
    <w:rsid w:val="007468D3"/>
    <w:rsid w:val="0075010B"/>
    <w:rsid w:val="007524C9"/>
    <w:rsid w:val="0076480F"/>
    <w:rsid w:val="00765DE4"/>
    <w:rsid w:val="00770332"/>
    <w:rsid w:val="00771387"/>
    <w:rsid w:val="007740A7"/>
    <w:rsid w:val="00774420"/>
    <w:rsid w:val="0077448E"/>
    <w:rsid w:val="007776B6"/>
    <w:rsid w:val="007825D5"/>
    <w:rsid w:val="0078791D"/>
    <w:rsid w:val="00790CB0"/>
    <w:rsid w:val="00792D8B"/>
    <w:rsid w:val="00792EB0"/>
    <w:rsid w:val="00794111"/>
    <w:rsid w:val="00797651"/>
    <w:rsid w:val="007A1CA2"/>
    <w:rsid w:val="007A450C"/>
    <w:rsid w:val="007A5E7F"/>
    <w:rsid w:val="007B04F4"/>
    <w:rsid w:val="007B499E"/>
    <w:rsid w:val="007B7B71"/>
    <w:rsid w:val="007C149B"/>
    <w:rsid w:val="007C6DEF"/>
    <w:rsid w:val="007C7758"/>
    <w:rsid w:val="007D0E15"/>
    <w:rsid w:val="007D2764"/>
    <w:rsid w:val="007D3A8E"/>
    <w:rsid w:val="007D5104"/>
    <w:rsid w:val="007D5410"/>
    <w:rsid w:val="007E349D"/>
    <w:rsid w:val="007E36E3"/>
    <w:rsid w:val="007E4AA4"/>
    <w:rsid w:val="007F0851"/>
    <w:rsid w:val="007F528A"/>
    <w:rsid w:val="00800A22"/>
    <w:rsid w:val="00801CC0"/>
    <w:rsid w:val="00802F6F"/>
    <w:rsid w:val="00804368"/>
    <w:rsid w:val="00804658"/>
    <w:rsid w:val="00804FFF"/>
    <w:rsid w:val="008132DA"/>
    <w:rsid w:val="00813C89"/>
    <w:rsid w:val="008140E9"/>
    <w:rsid w:val="00822FD0"/>
    <w:rsid w:val="008251A9"/>
    <w:rsid w:val="008252FF"/>
    <w:rsid w:val="00830920"/>
    <w:rsid w:val="00830D33"/>
    <w:rsid w:val="0083278B"/>
    <w:rsid w:val="008363F2"/>
    <w:rsid w:val="00836E28"/>
    <w:rsid w:val="008427A9"/>
    <w:rsid w:val="0084543F"/>
    <w:rsid w:val="0084666C"/>
    <w:rsid w:val="00851ABA"/>
    <w:rsid w:val="00851B20"/>
    <w:rsid w:val="008526D2"/>
    <w:rsid w:val="00853A0D"/>
    <w:rsid w:val="008547C2"/>
    <w:rsid w:val="008548AF"/>
    <w:rsid w:val="00855341"/>
    <w:rsid w:val="0085761E"/>
    <w:rsid w:val="00857AFE"/>
    <w:rsid w:val="00860A2C"/>
    <w:rsid w:val="008627B7"/>
    <w:rsid w:val="008642EE"/>
    <w:rsid w:val="008702DB"/>
    <w:rsid w:val="008728CD"/>
    <w:rsid w:val="00873444"/>
    <w:rsid w:val="008741B2"/>
    <w:rsid w:val="008759C5"/>
    <w:rsid w:val="00875EA4"/>
    <w:rsid w:val="00876033"/>
    <w:rsid w:val="008773F3"/>
    <w:rsid w:val="00880EFF"/>
    <w:rsid w:val="00883B8D"/>
    <w:rsid w:val="0088520A"/>
    <w:rsid w:val="00891955"/>
    <w:rsid w:val="008922A1"/>
    <w:rsid w:val="008935D8"/>
    <w:rsid w:val="008944B0"/>
    <w:rsid w:val="00895C1E"/>
    <w:rsid w:val="008A5E7A"/>
    <w:rsid w:val="008A6FB2"/>
    <w:rsid w:val="008A7A58"/>
    <w:rsid w:val="008A7E73"/>
    <w:rsid w:val="008B260E"/>
    <w:rsid w:val="008B797C"/>
    <w:rsid w:val="008C1048"/>
    <w:rsid w:val="008C20A4"/>
    <w:rsid w:val="008C23FB"/>
    <w:rsid w:val="008C4D12"/>
    <w:rsid w:val="008C4D97"/>
    <w:rsid w:val="008C5447"/>
    <w:rsid w:val="008C6210"/>
    <w:rsid w:val="008D04B7"/>
    <w:rsid w:val="008D04CD"/>
    <w:rsid w:val="008D2390"/>
    <w:rsid w:val="008D7555"/>
    <w:rsid w:val="008D7CBD"/>
    <w:rsid w:val="008E08A8"/>
    <w:rsid w:val="008E162A"/>
    <w:rsid w:val="008E631C"/>
    <w:rsid w:val="008E631D"/>
    <w:rsid w:val="008E6819"/>
    <w:rsid w:val="008E68E4"/>
    <w:rsid w:val="008F432D"/>
    <w:rsid w:val="00900EC9"/>
    <w:rsid w:val="00901F35"/>
    <w:rsid w:val="0090476F"/>
    <w:rsid w:val="0090523A"/>
    <w:rsid w:val="009075F8"/>
    <w:rsid w:val="00907E31"/>
    <w:rsid w:val="00912E0E"/>
    <w:rsid w:val="009135AD"/>
    <w:rsid w:val="009200FB"/>
    <w:rsid w:val="00921548"/>
    <w:rsid w:val="00922624"/>
    <w:rsid w:val="00924E44"/>
    <w:rsid w:val="00925979"/>
    <w:rsid w:val="0095242E"/>
    <w:rsid w:val="00955CAE"/>
    <w:rsid w:val="00963EAB"/>
    <w:rsid w:val="00964245"/>
    <w:rsid w:val="00964779"/>
    <w:rsid w:val="009654E0"/>
    <w:rsid w:val="009714C4"/>
    <w:rsid w:val="00973A53"/>
    <w:rsid w:val="009749AD"/>
    <w:rsid w:val="009752C2"/>
    <w:rsid w:val="009756B4"/>
    <w:rsid w:val="00977042"/>
    <w:rsid w:val="009834EA"/>
    <w:rsid w:val="00986410"/>
    <w:rsid w:val="00987583"/>
    <w:rsid w:val="009875C3"/>
    <w:rsid w:val="00994FF9"/>
    <w:rsid w:val="009A07F0"/>
    <w:rsid w:val="009A272F"/>
    <w:rsid w:val="009A3DA5"/>
    <w:rsid w:val="009A70E8"/>
    <w:rsid w:val="009B448D"/>
    <w:rsid w:val="009B5AAB"/>
    <w:rsid w:val="009C5712"/>
    <w:rsid w:val="009C6F77"/>
    <w:rsid w:val="009C7B06"/>
    <w:rsid w:val="009D03E4"/>
    <w:rsid w:val="009D299F"/>
    <w:rsid w:val="009D4707"/>
    <w:rsid w:val="009D48C6"/>
    <w:rsid w:val="009E075B"/>
    <w:rsid w:val="009E07B4"/>
    <w:rsid w:val="009E755F"/>
    <w:rsid w:val="009E7790"/>
    <w:rsid w:val="009F06E2"/>
    <w:rsid w:val="009F323B"/>
    <w:rsid w:val="009F44B6"/>
    <w:rsid w:val="009F4E4F"/>
    <w:rsid w:val="009F56F7"/>
    <w:rsid w:val="00A031F6"/>
    <w:rsid w:val="00A14525"/>
    <w:rsid w:val="00A145ED"/>
    <w:rsid w:val="00A1744A"/>
    <w:rsid w:val="00A20323"/>
    <w:rsid w:val="00A20A95"/>
    <w:rsid w:val="00A21C55"/>
    <w:rsid w:val="00A24106"/>
    <w:rsid w:val="00A25ECC"/>
    <w:rsid w:val="00A265E9"/>
    <w:rsid w:val="00A30C0C"/>
    <w:rsid w:val="00A31E16"/>
    <w:rsid w:val="00A31E27"/>
    <w:rsid w:val="00A32382"/>
    <w:rsid w:val="00A35ADA"/>
    <w:rsid w:val="00A4283F"/>
    <w:rsid w:val="00A4295F"/>
    <w:rsid w:val="00A4443A"/>
    <w:rsid w:val="00A45F8D"/>
    <w:rsid w:val="00A46F6A"/>
    <w:rsid w:val="00A47A3C"/>
    <w:rsid w:val="00A509E1"/>
    <w:rsid w:val="00A52943"/>
    <w:rsid w:val="00A562B7"/>
    <w:rsid w:val="00A56A55"/>
    <w:rsid w:val="00A62CEC"/>
    <w:rsid w:val="00A63E6C"/>
    <w:rsid w:val="00A65268"/>
    <w:rsid w:val="00A65704"/>
    <w:rsid w:val="00A72168"/>
    <w:rsid w:val="00A74AA7"/>
    <w:rsid w:val="00A76345"/>
    <w:rsid w:val="00A80F90"/>
    <w:rsid w:val="00A81FE3"/>
    <w:rsid w:val="00A874BC"/>
    <w:rsid w:val="00A87E50"/>
    <w:rsid w:val="00A91109"/>
    <w:rsid w:val="00A933F1"/>
    <w:rsid w:val="00A94B6E"/>
    <w:rsid w:val="00A94DB7"/>
    <w:rsid w:val="00A95211"/>
    <w:rsid w:val="00A96A72"/>
    <w:rsid w:val="00A96D79"/>
    <w:rsid w:val="00A97C27"/>
    <w:rsid w:val="00AA065A"/>
    <w:rsid w:val="00AA4623"/>
    <w:rsid w:val="00AA5C77"/>
    <w:rsid w:val="00AA6932"/>
    <w:rsid w:val="00AB1145"/>
    <w:rsid w:val="00AB2FE8"/>
    <w:rsid w:val="00AB3C57"/>
    <w:rsid w:val="00AB6E48"/>
    <w:rsid w:val="00AC2551"/>
    <w:rsid w:val="00AC4175"/>
    <w:rsid w:val="00AC532B"/>
    <w:rsid w:val="00AC6AB6"/>
    <w:rsid w:val="00AD0CC2"/>
    <w:rsid w:val="00AD2C5B"/>
    <w:rsid w:val="00AD3EBA"/>
    <w:rsid w:val="00AD6722"/>
    <w:rsid w:val="00AD703D"/>
    <w:rsid w:val="00AE1DD8"/>
    <w:rsid w:val="00AE26F0"/>
    <w:rsid w:val="00AE371A"/>
    <w:rsid w:val="00AE435E"/>
    <w:rsid w:val="00AE63B6"/>
    <w:rsid w:val="00AE7CF5"/>
    <w:rsid w:val="00AF0C5D"/>
    <w:rsid w:val="00AF256E"/>
    <w:rsid w:val="00AF278F"/>
    <w:rsid w:val="00AF339F"/>
    <w:rsid w:val="00AF3ADC"/>
    <w:rsid w:val="00AF4DF7"/>
    <w:rsid w:val="00AF5701"/>
    <w:rsid w:val="00AF7445"/>
    <w:rsid w:val="00AF7CD7"/>
    <w:rsid w:val="00B02292"/>
    <w:rsid w:val="00B0379C"/>
    <w:rsid w:val="00B038D2"/>
    <w:rsid w:val="00B05EA5"/>
    <w:rsid w:val="00B06015"/>
    <w:rsid w:val="00B156B9"/>
    <w:rsid w:val="00B17051"/>
    <w:rsid w:val="00B2391C"/>
    <w:rsid w:val="00B23A9A"/>
    <w:rsid w:val="00B23E06"/>
    <w:rsid w:val="00B24DD3"/>
    <w:rsid w:val="00B26B0B"/>
    <w:rsid w:val="00B27D26"/>
    <w:rsid w:val="00B32E92"/>
    <w:rsid w:val="00B33E80"/>
    <w:rsid w:val="00B34348"/>
    <w:rsid w:val="00B35CE2"/>
    <w:rsid w:val="00B43928"/>
    <w:rsid w:val="00B465B4"/>
    <w:rsid w:val="00B52B5E"/>
    <w:rsid w:val="00B5438E"/>
    <w:rsid w:val="00B54AB8"/>
    <w:rsid w:val="00B61BC6"/>
    <w:rsid w:val="00B625E9"/>
    <w:rsid w:val="00B632E0"/>
    <w:rsid w:val="00B6349C"/>
    <w:rsid w:val="00B65D9B"/>
    <w:rsid w:val="00B705E5"/>
    <w:rsid w:val="00B706D7"/>
    <w:rsid w:val="00B70EF4"/>
    <w:rsid w:val="00B75354"/>
    <w:rsid w:val="00B77175"/>
    <w:rsid w:val="00B82830"/>
    <w:rsid w:val="00B87FB7"/>
    <w:rsid w:val="00B9262A"/>
    <w:rsid w:val="00B9265B"/>
    <w:rsid w:val="00B9572F"/>
    <w:rsid w:val="00B977C9"/>
    <w:rsid w:val="00B979E6"/>
    <w:rsid w:val="00BA0585"/>
    <w:rsid w:val="00BA3C84"/>
    <w:rsid w:val="00BA5BE5"/>
    <w:rsid w:val="00BA786A"/>
    <w:rsid w:val="00BB0AB3"/>
    <w:rsid w:val="00BB29B5"/>
    <w:rsid w:val="00BB440D"/>
    <w:rsid w:val="00BB46FC"/>
    <w:rsid w:val="00BB6978"/>
    <w:rsid w:val="00BB7C90"/>
    <w:rsid w:val="00BC07BB"/>
    <w:rsid w:val="00BC20FD"/>
    <w:rsid w:val="00BC33F5"/>
    <w:rsid w:val="00BC5AA7"/>
    <w:rsid w:val="00BC7B3C"/>
    <w:rsid w:val="00BD2907"/>
    <w:rsid w:val="00BD55CA"/>
    <w:rsid w:val="00BD5CE0"/>
    <w:rsid w:val="00BD6A1D"/>
    <w:rsid w:val="00BE0DEE"/>
    <w:rsid w:val="00BE3225"/>
    <w:rsid w:val="00BF0AE9"/>
    <w:rsid w:val="00BF154A"/>
    <w:rsid w:val="00BF15EB"/>
    <w:rsid w:val="00BF392C"/>
    <w:rsid w:val="00BF4240"/>
    <w:rsid w:val="00C00175"/>
    <w:rsid w:val="00C026EB"/>
    <w:rsid w:val="00C02D35"/>
    <w:rsid w:val="00C02E73"/>
    <w:rsid w:val="00C03B3C"/>
    <w:rsid w:val="00C04E2A"/>
    <w:rsid w:val="00C05372"/>
    <w:rsid w:val="00C057CB"/>
    <w:rsid w:val="00C06433"/>
    <w:rsid w:val="00C07145"/>
    <w:rsid w:val="00C07921"/>
    <w:rsid w:val="00C07AA6"/>
    <w:rsid w:val="00C124DF"/>
    <w:rsid w:val="00C15FB2"/>
    <w:rsid w:val="00C277FD"/>
    <w:rsid w:val="00C302F5"/>
    <w:rsid w:val="00C31249"/>
    <w:rsid w:val="00C450CE"/>
    <w:rsid w:val="00C4624E"/>
    <w:rsid w:val="00C46891"/>
    <w:rsid w:val="00C505D3"/>
    <w:rsid w:val="00C5091C"/>
    <w:rsid w:val="00C53F27"/>
    <w:rsid w:val="00C54024"/>
    <w:rsid w:val="00C5504A"/>
    <w:rsid w:val="00C55204"/>
    <w:rsid w:val="00C55968"/>
    <w:rsid w:val="00C55E70"/>
    <w:rsid w:val="00C57243"/>
    <w:rsid w:val="00C60D6D"/>
    <w:rsid w:val="00C64568"/>
    <w:rsid w:val="00C7292D"/>
    <w:rsid w:val="00C7411D"/>
    <w:rsid w:val="00C7472C"/>
    <w:rsid w:val="00C74CD4"/>
    <w:rsid w:val="00C75DE9"/>
    <w:rsid w:val="00C76491"/>
    <w:rsid w:val="00C80776"/>
    <w:rsid w:val="00C81A53"/>
    <w:rsid w:val="00C84747"/>
    <w:rsid w:val="00C87F3D"/>
    <w:rsid w:val="00C91857"/>
    <w:rsid w:val="00CA2857"/>
    <w:rsid w:val="00CA355C"/>
    <w:rsid w:val="00CA7919"/>
    <w:rsid w:val="00CB20D3"/>
    <w:rsid w:val="00CB2C89"/>
    <w:rsid w:val="00CB39DD"/>
    <w:rsid w:val="00CB765A"/>
    <w:rsid w:val="00CD257A"/>
    <w:rsid w:val="00CD3682"/>
    <w:rsid w:val="00CD3D83"/>
    <w:rsid w:val="00CD5AC1"/>
    <w:rsid w:val="00CD7036"/>
    <w:rsid w:val="00CD7700"/>
    <w:rsid w:val="00CE0686"/>
    <w:rsid w:val="00CE12B6"/>
    <w:rsid w:val="00CE34D0"/>
    <w:rsid w:val="00CE4FD8"/>
    <w:rsid w:val="00CE5944"/>
    <w:rsid w:val="00CF15F0"/>
    <w:rsid w:val="00CF1E7E"/>
    <w:rsid w:val="00CF2560"/>
    <w:rsid w:val="00CF40D6"/>
    <w:rsid w:val="00CF4F5C"/>
    <w:rsid w:val="00CF5141"/>
    <w:rsid w:val="00CF6E0A"/>
    <w:rsid w:val="00CF7D4B"/>
    <w:rsid w:val="00D02622"/>
    <w:rsid w:val="00D02B64"/>
    <w:rsid w:val="00D04A2D"/>
    <w:rsid w:val="00D12D7D"/>
    <w:rsid w:val="00D13E4E"/>
    <w:rsid w:val="00D1403C"/>
    <w:rsid w:val="00D20550"/>
    <w:rsid w:val="00D21BC8"/>
    <w:rsid w:val="00D32247"/>
    <w:rsid w:val="00D37942"/>
    <w:rsid w:val="00D47908"/>
    <w:rsid w:val="00D50E5C"/>
    <w:rsid w:val="00D520B7"/>
    <w:rsid w:val="00D536DD"/>
    <w:rsid w:val="00D549AE"/>
    <w:rsid w:val="00D54B77"/>
    <w:rsid w:val="00D55E4A"/>
    <w:rsid w:val="00D57AEF"/>
    <w:rsid w:val="00D60FAA"/>
    <w:rsid w:val="00D6502F"/>
    <w:rsid w:val="00D65CF6"/>
    <w:rsid w:val="00D67B1D"/>
    <w:rsid w:val="00D71B27"/>
    <w:rsid w:val="00D75253"/>
    <w:rsid w:val="00D75506"/>
    <w:rsid w:val="00D83408"/>
    <w:rsid w:val="00D92627"/>
    <w:rsid w:val="00D94E49"/>
    <w:rsid w:val="00D9770E"/>
    <w:rsid w:val="00DA0995"/>
    <w:rsid w:val="00DA19FE"/>
    <w:rsid w:val="00DA32F5"/>
    <w:rsid w:val="00DA5F14"/>
    <w:rsid w:val="00DA6363"/>
    <w:rsid w:val="00DA658C"/>
    <w:rsid w:val="00DA7CC1"/>
    <w:rsid w:val="00DB21F5"/>
    <w:rsid w:val="00DB27E6"/>
    <w:rsid w:val="00DB32FF"/>
    <w:rsid w:val="00DB33FC"/>
    <w:rsid w:val="00DB39FA"/>
    <w:rsid w:val="00DB71F1"/>
    <w:rsid w:val="00DB7C56"/>
    <w:rsid w:val="00DC5479"/>
    <w:rsid w:val="00DC599C"/>
    <w:rsid w:val="00DC5C38"/>
    <w:rsid w:val="00DC6B90"/>
    <w:rsid w:val="00DD00A8"/>
    <w:rsid w:val="00DD1AEA"/>
    <w:rsid w:val="00DD71C0"/>
    <w:rsid w:val="00DE7769"/>
    <w:rsid w:val="00DF330F"/>
    <w:rsid w:val="00DF3930"/>
    <w:rsid w:val="00DF4AFB"/>
    <w:rsid w:val="00E028D2"/>
    <w:rsid w:val="00E03642"/>
    <w:rsid w:val="00E0675A"/>
    <w:rsid w:val="00E06BBF"/>
    <w:rsid w:val="00E06C7F"/>
    <w:rsid w:val="00E14F13"/>
    <w:rsid w:val="00E155E9"/>
    <w:rsid w:val="00E20F64"/>
    <w:rsid w:val="00E24536"/>
    <w:rsid w:val="00E248EA"/>
    <w:rsid w:val="00E24DC3"/>
    <w:rsid w:val="00E33AC8"/>
    <w:rsid w:val="00E33D6D"/>
    <w:rsid w:val="00E353A9"/>
    <w:rsid w:val="00E37DC5"/>
    <w:rsid w:val="00E42037"/>
    <w:rsid w:val="00E44968"/>
    <w:rsid w:val="00E46AEE"/>
    <w:rsid w:val="00E52327"/>
    <w:rsid w:val="00E52B9B"/>
    <w:rsid w:val="00E5433B"/>
    <w:rsid w:val="00E55576"/>
    <w:rsid w:val="00E603A3"/>
    <w:rsid w:val="00E60791"/>
    <w:rsid w:val="00E61B78"/>
    <w:rsid w:val="00E6577A"/>
    <w:rsid w:val="00E65B7E"/>
    <w:rsid w:val="00E66C28"/>
    <w:rsid w:val="00E70FCB"/>
    <w:rsid w:val="00E8394F"/>
    <w:rsid w:val="00E8750E"/>
    <w:rsid w:val="00E8768D"/>
    <w:rsid w:val="00E911E6"/>
    <w:rsid w:val="00E9261A"/>
    <w:rsid w:val="00E92807"/>
    <w:rsid w:val="00E94529"/>
    <w:rsid w:val="00E96B76"/>
    <w:rsid w:val="00EA0B0B"/>
    <w:rsid w:val="00EA2D39"/>
    <w:rsid w:val="00EA3DB3"/>
    <w:rsid w:val="00EA604A"/>
    <w:rsid w:val="00EB1FAE"/>
    <w:rsid w:val="00EB3180"/>
    <w:rsid w:val="00EB650C"/>
    <w:rsid w:val="00EB7692"/>
    <w:rsid w:val="00EB7AC2"/>
    <w:rsid w:val="00EC02CA"/>
    <w:rsid w:val="00EC1263"/>
    <w:rsid w:val="00EC2283"/>
    <w:rsid w:val="00EC23E3"/>
    <w:rsid w:val="00EC46E5"/>
    <w:rsid w:val="00EC68B8"/>
    <w:rsid w:val="00EC6C18"/>
    <w:rsid w:val="00EC7922"/>
    <w:rsid w:val="00ED1DCA"/>
    <w:rsid w:val="00ED3CA3"/>
    <w:rsid w:val="00ED7DA1"/>
    <w:rsid w:val="00EE3A7B"/>
    <w:rsid w:val="00EE7D07"/>
    <w:rsid w:val="00EF1C1A"/>
    <w:rsid w:val="00EF1DBE"/>
    <w:rsid w:val="00EF3A53"/>
    <w:rsid w:val="00EF41AC"/>
    <w:rsid w:val="00F00BC3"/>
    <w:rsid w:val="00F018B1"/>
    <w:rsid w:val="00F023ED"/>
    <w:rsid w:val="00F03098"/>
    <w:rsid w:val="00F07229"/>
    <w:rsid w:val="00F07352"/>
    <w:rsid w:val="00F10727"/>
    <w:rsid w:val="00F1175B"/>
    <w:rsid w:val="00F1249C"/>
    <w:rsid w:val="00F20A81"/>
    <w:rsid w:val="00F238E9"/>
    <w:rsid w:val="00F249B2"/>
    <w:rsid w:val="00F319A4"/>
    <w:rsid w:val="00F42979"/>
    <w:rsid w:val="00F45526"/>
    <w:rsid w:val="00F4614E"/>
    <w:rsid w:val="00F46A39"/>
    <w:rsid w:val="00F47512"/>
    <w:rsid w:val="00F5441A"/>
    <w:rsid w:val="00F5468D"/>
    <w:rsid w:val="00F561C2"/>
    <w:rsid w:val="00F5724E"/>
    <w:rsid w:val="00F57CAE"/>
    <w:rsid w:val="00F6018D"/>
    <w:rsid w:val="00F615EE"/>
    <w:rsid w:val="00F61AE5"/>
    <w:rsid w:val="00F62844"/>
    <w:rsid w:val="00F6486B"/>
    <w:rsid w:val="00F6507C"/>
    <w:rsid w:val="00F71FC6"/>
    <w:rsid w:val="00F77054"/>
    <w:rsid w:val="00F8406B"/>
    <w:rsid w:val="00F84E4F"/>
    <w:rsid w:val="00F86DB9"/>
    <w:rsid w:val="00F908F2"/>
    <w:rsid w:val="00F90F6E"/>
    <w:rsid w:val="00F9107C"/>
    <w:rsid w:val="00F912A0"/>
    <w:rsid w:val="00F914A1"/>
    <w:rsid w:val="00FA459F"/>
    <w:rsid w:val="00FA782F"/>
    <w:rsid w:val="00FA7BFC"/>
    <w:rsid w:val="00FB095D"/>
    <w:rsid w:val="00FB5F4E"/>
    <w:rsid w:val="00FC0FA7"/>
    <w:rsid w:val="00FC1CD2"/>
    <w:rsid w:val="00FC387E"/>
    <w:rsid w:val="00FC4C1F"/>
    <w:rsid w:val="00FC55AC"/>
    <w:rsid w:val="00FC78C1"/>
    <w:rsid w:val="00FD11E5"/>
    <w:rsid w:val="00FD223F"/>
    <w:rsid w:val="00FD3EDF"/>
    <w:rsid w:val="00FD4632"/>
    <w:rsid w:val="00FD70E7"/>
    <w:rsid w:val="00FD77B1"/>
    <w:rsid w:val="00FE23A6"/>
    <w:rsid w:val="00FE5D13"/>
    <w:rsid w:val="00FF1294"/>
    <w:rsid w:val="00FF26FA"/>
    <w:rsid w:val="00FF382C"/>
    <w:rsid w:val="00FF4299"/>
    <w:rsid w:val="00FF4B35"/>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38">
      <w:bodyDiv w:val="1"/>
      <w:marLeft w:val="0"/>
      <w:marRight w:val="0"/>
      <w:marTop w:val="0"/>
      <w:marBottom w:val="0"/>
      <w:divBdr>
        <w:top w:val="none" w:sz="0" w:space="0" w:color="auto"/>
        <w:left w:val="none" w:sz="0" w:space="0" w:color="auto"/>
        <w:bottom w:val="none" w:sz="0" w:space="0" w:color="auto"/>
        <w:right w:val="none" w:sz="0" w:space="0" w:color="auto"/>
      </w:divBdr>
    </w:div>
    <w:div w:id="155535709">
      <w:bodyDiv w:val="1"/>
      <w:marLeft w:val="0"/>
      <w:marRight w:val="0"/>
      <w:marTop w:val="0"/>
      <w:marBottom w:val="0"/>
      <w:divBdr>
        <w:top w:val="none" w:sz="0" w:space="0" w:color="auto"/>
        <w:left w:val="none" w:sz="0" w:space="0" w:color="auto"/>
        <w:bottom w:val="none" w:sz="0" w:space="0" w:color="auto"/>
        <w:right w:val="none" w:sz="0" w:space="0" w:color="auto"/>
      </w:divBdr>
    </w:div>
    <w:div w:id="247159380">
      <w:bodyDiv w:val="1"/>
      <w:marLeft w:val="0"/>
      <w:marRight w:val="0"/>
      <w:marTop w:val="0"/>
      <w:marBottom w:val="0"/>
      <w:divBdr>
        <w:top w:val="none" w:sz="0" w:space="0" w:color="auto"/>
        <w:left w:val="none" w:sz="0" w:space="0" w:color="auto"/>
        <w:bottom w:val="none" w:sz="0" w:space="0" w:color="auto"/>
        <w:right w:val="none" w:sz="0" w:space="0" w:color="auto"/>
      </w:divBdr>
    </w:div>
    <w:div w:id="253443777">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13262520">
      <w:bodyDiv w:val="1"/>
      <w:marLeft w:val="0"/>
      <w:marRight w:val="0"/>
      <w:marTop w:val="0"/>
      <w:marBottom w:val="0"/>
      <w:divBdr>
        <w:top w:val="none" w:sz="0" w:space="0" w:color="auto"/>
        <w:left w:val="none" w:sz="0" w:space="0" w:color="auto"/>
        <w:bottom w:val="none" w:sz="0" w:space="0" w:color="auto"/>
        <w:right w:val="none" w:sz="0" w:space="0" w:color="auto"/>
      </w:divBdr>
    </w:div>
    <w:div w:id="447310901">
      <w:bodyDiv w:val="1"/>
      <w:marLeft w:val="0"/>
      <w:marRight w:val="0"/>
      <w:marTop w:val="0"/>
      <w:marBottom w:val="0"/>
      <w:divBdr>
        <w:top w:val="none" w:sz="0" w:space="0" w:color="auto"/>
        <w:left w:val="none" w:sz="0" w:space="0" w:color="auto"/>
        <w:bottom w:val="none" w:sz="0" w:space="0" w:color="auto"/>
        <w:right w:val="none" w:sz="0" w:space="0" w:color="auto"/>
      </w:divBdr>
    </w:div>
    <w:div w:id="479274735">
      <w:bodyDiv w:val="1"/>
      <w:marLeft w:val="0"/>
      <w:marRight w:val="0"/>
      <w:marTop w:val="0"/>
      <w:marBottom w:val="0"/>
      <w:divBdr>
        <w:top w:val="none" w:sz="0" w:space="0" w:color="auto"/>
        <w:left w:val="none" w:sz="0" w:space="0" w:color="auto"/>
        <w:bottom w:val="none" w:sz="0" w:space="0" w:color="auto"/>
        <w:right w:val="none" w:sz="0" w:space="0" w:color="auto"/>
      </w:divBdr>
    </w:div>
    <w:div w:id="483545366">
      <w:bodyDiv w:val="1"/>
      <w:marLeft w:val="0"/>
      <w:marRight w:val="0"/>
      <w:marTop w:val="0"/>
      <w:marBottom w:val="0"/>
      <w:divBdr>
        <w:top w:val="none" w:sz="0" w:space="0" w:color="auto"/>
        <w:left w:val="none" w:sz="0" w:space="0" w:color="auto"/>
        <w:bottom w:val="none" w:sz="0" w:space="0" w:color="auto"/>
        <w:right w:val="none" w:sz="0" w:space="0" w:color="auto"/>
      </w:divBdr>
    </w:div>
    <w:div w:id="554438135">
      <w:bodyDiv w:val="1"/>
      <w:marLeft w:val="0"/>
      <w:marRight w:val="0"/>
      <w:marTop w:val="0"/>
      <w:marBottom w:val="0"/>
      <w:divBdr>
        <w:top w:val="none" w:sz="0" w:space="0" w:color="auto"/>
        <w:left w:val="none" w:sz="0" w:space="0" w:color="auto"/>
        <w:bottom w:val="none" w:sz="0" w:space="0" w:color="auto"/>
        <w:right w:val="none" w:sz="0" w:space="0" w:color="auto"/>
      </w:divBdr>
    </w:div>
    <w:div w:id="566917452">
      <w:bodyDiv w:val="1"/>
      <w:marLeft w:val="0"/>
      <w:marRight w:val="0"/>
      <w:marTop w:val="0"/>
      <w:marBottom w:val="0"/>
      <w:divBdr>
        <w:top w:val="none" w:sz="0" w:space="0" w:color="auto"/>
        <w:left w:val="none" w:sz="0" w:space="0" w:color="auto"/>
        <w:bottom w:val="none" w:sz="0" w:space="0" w:color="auto"/>
        <w:right w:val="none" w:sz="0" w:space="0" w:color="auto"/>
      </w:divBdr>
    </w:div>
    <w:div w:id="626395898">
      <w:bodyDiv w:val="1"/>
      <w:marLeft w:val="0"/>
      <w:marRight w:val="0"/>
      <w:marTop w:val="0"/>
      <w:marBottom w:val="0"/>
      <w:divBdr>
        <w:top w:val="none" w:sz="0" w:space="0" w:color="auto"/>
        <w:left w:val="none" w:sz="0" w:space="0" w:color="auto"/>
        <w:bottom w:val="none" w:sz="0" w:space="0" w:color="auto"/>
        <w:right w:val="none" w:sz="0" w:space="0" w:color="auto"/>
      </w:divBdr>
    </w:div>
    <w:div w:id="726496994">
      <w:bodyDiv w:val="1"/>
      <w:marLeft w:val="0"/>
      <w:marRight w:val="0"/>
      <w:marTop w:val="0"/>
      <w:marBottom w:val="0"/>
      <w:divBdr>
        <w:top w:val="none" w:sz="0" w:space="0" w:color="auto"/>
        <w:left w:val="none" w:sz="0" w:space="0" w:color="auto"/>
        <w:bottom w:val="none" w:sz="0" w:space="0" w:color="auto"/>
        <w:right w:val="none" w:sz="0" w:space="0" w:color="auto"/>
      </w:divBdr>
    </w:div>
    <w:div w:id="742678784">
      <w:bodyDiv w:val="1"/>
      <w:marLeft w:val="0"/>
      <w:marRight w:val="0"/>
      <w:marTop w:val="0"/>
      <w:marBottom w:val="0"/>
      <w:divBdr>
        <w:top w:val="none" w:sz="0" w:space="0" w:color="auto"/>
        <w:left w:val="none" w:sz="0" w:space="0" w:color="auto"/>
        <w:bottom w:val="none" w:sz="0" w:space="0" w:color="auto"/>
        <w:right w:val="none" w:sz="0" w:space="0" w:color="auto"/>
      </w:divBdr>
    </w:div>
    <w:div w:id="788549798">
      <w:bodyDiv w:val="1"/>
      <w:marLeft w:val="0"/>
      <w:marRight w:val="0"/>
      <w:marTop w:val="0"/>
      <w:marBottom w:val="0"/>
      <w:divBdr>
        <w:top w:val="none" w:sz="0" w:space="0" w:color="auto"/>
        <w:left w:val="none" w:sz="0" w:space="0" w:color="auto"/>
        <w:bottom w:val="none" w:sz="0" w:space="0" w:color="auto"/>
        <w:right w:val="none" w:sz="0" w:space="0" w:color="auto"/>
      </w:divBdr>
    </w:div>
    <w:div w:id="807169191">
      <w:bodyDiv w:val="1"/>
      <w:marLeft w:val="0"/>
      <w:marRight w:val="0"/>
      <w:marTop w:val="0"/>
      <w:marBottom w:val="0"/>
      <w:divBdr>
        <w:top w:val="none" w:sz="0" w:space="0" w:color="auto"/>
        <w:left w:val="none" w:sz="0" w:space="0" w:color="auto"/>
        <w:bottom w:val="none" w:sz="0" w:space="0" w:color="auto"/>
        <w:right w:val="none" w:sz="0" w:space="0" w:color="auto"/>
      </w:divBdr>
    </w:div>
    <w:div w:id="818964928">
      <w:bodyDiv w:val="1"/>
      <w:marLeft w:val="0"/>
      <w:marRight w:val="0"/>
      <w:marTop w:val="0"/>
      <w:marBottom w:val="0"/>
      <w:divBdr>
        <w:top w:val="none" w:sz="0" w:space="0" w:color="auto"/>
        <w:left w:val="none" w:sz="0" w:space="0" w:color="auto"/>
        <w:bottom w:val="none" w:sz="0" w:space="0" w:color="auto"/>
        <w:right w:val="none" w:sz="0" w:space="0" w:color="auto"/>
      </w:divBdr>
    </w:div>
    <w:div w:id="932586944">
      <w:bodyDiv w:val="1"/>
      <w:marLeft w:val="0"/>
      <w:marRight w:val="0"/>
      <w:marTop w:val="0"/>
      <w:marBottom w:val="0"/>
      <w:divBdr>
        <w:top w:val="none" w:sz="0" w:space="0" w:color="auto"/>
        <w:left w:val="none" w:sz="0" w:space="0" w:color="auto"/>
        <w:bottom w:val="none" w:sz="0" w:space="0" w:color="auto"/>
        <w:right w:val="none" w:sz="0" w:space="0" w:color="auto"/>
      </w:divBdr>
    </w:div>
    <w:div w:id="1002004261">
      <w:bodyDiv w:val="1"/>
      <w:marLeft w:val="0"/>
      <w:marRight w:val="0"/>
      <w:marTop w:val="0"/>
      <w:marBottom w:val="0"/>
      <w:divBdr>
        <w:top w:val="none" w:sz="0" w:space="0" w:color="auto"/>
        <w:left w:val="none" w:sz="0" w:space="0" w:color="auto"/>
        <w:bottom w:val="none" w:sz="0" w:space="0" w:color="auto"/>
        <w:right w:val="none" w:sz="0" w:space="0" w:color="auto"/>
      </w:divBdr>
    </w:div>
    <w:div w:id="1007561051">
      <w:bodyDiv w:val="1"/>
      <w:marLeft w:val="0"/>
      <w:marRight w:val="0"/>
      <w:marTop w:val="0"/>
      <w:marBottom w:val="0"/>
      <w:divBdr>
        <w:top w:val="none" w:sz="0" w:space="0" w:color="auto"/>
        <w:left w:val="none" w:sz="0" w:space="0" w:color="auto"/>
        <w:bottom w:val="none" w:sz="0" w:space="0" w:color="auto"/>
        <w:right w:val="none" w:sz="0" w:space="0" w:color="auto"/>
      </w:divBdr>
    </w:div>
    <w:div w:id="1010840733">
      <w:bodyDiv w:val="1"/>
      <w:marLeft w:val="0"/>
      <w:marRight w:val="0"/>
      <w:marTop w:val="0"/>
      <w:marBottom w:val="0"/>
      <w:divBdr>
        <w:top w:val="none" w:sz="0" w:space="0" w:color="auto"/>
        <w:left w:val="none" w:sz="0" w:space="0" w:color="auto"/>
        <w:bottom w:val="none" w:sz="0" w:space="0" w:color="auto"/>
        <w:right w:val="none" w:sz="0" w:space="0" w:color="auto"/>
      </w:divBdr>
    </w:div>
    <w:div w:id="1047215841">
      <w:bodyDiv w:val="1"/>
      <w:marLeft w:val="0"/>
      <w:marRight w:val="0"/>
      <w:marTop w:val="0"/>
      <w:marBottom w:val="0"/>
      <w:divBdr>
        <w:top w:val="none" w:sz="0" w:space="0" w:color="auto"/>
        <w:left w:val="none" w:sz="0" w:space="0" w:color="auto"/>
        <w:bottom w:val="none" w:sz="0" w:space="0" w:color="auto"/>
        <w:right w:val="none" w:sz="0" w:space="0" w:color="auto"/>
      </w:divBdr>
    </w:div>
    <w:div w:id="1092820218">
      <w:bodyDiv w:val="1"/>
      <w:marLeft w:val="0"/>
      <w:marRight w:val="0"/>
      <w:marTop w:val="0"/>
      <w:marBottom w:val="0"/>
      <w:divBdr>
        <w:top w:val="none" w:sz="0" w:space="0" w:color="auto"/>
        <w:left w:val="none" w:sz="0" w:space="0" w:color="auto"/>
        <w:bottom w:val="none" w:sz="0" w:space="0" w:color="auto"/>
        <w:right w:val="none" w:sz="0" w:space="0" w:color="auto"/>
      </w:divBdr>
    </w:div>
    <w:div w:id="1194687305">
      <w:bodyDiv w:val="1"/>
      <w:marLeft w:val="0"/>
      <w:marRight w:val="0"/>
      <w:marTop w:val="0"/>
      <w:marBottom w:val="0"/>
      <w:divBdr>
        <w:top w:val="none" w:sz="0" w:space="0" w:color="auto"/>
        <w:left w:val="none" w:sz="0" w:space="0" w:color="auto"/>
        <w:bottom w:val="none" w:sz="0" w:space="0" w:color="auto"/>
        <w:right w:val="none" w:sz="0" w:space="0" w:color="auto"/>
      </w:divBdr>
    </w:div>
    <w:div w:id="1245643959">
      <w:bodyDiv w:val="1"/>
      <w:marLeft w:val="0"/>
      <w:marRight w:val="0"/>
      <w:marTop w:val="0"/>
      <w:marBottom w:val="0"/>
      <w:divBdr>
        <w:top w:val="none" w:sz="0" w:space="0" w:color="auto"/>
        <w:left w:val="none" w:sz="0" w:space="0" w:color="auto"/>
        <w:bottom w:val="none" w:sz="0" w:space="0" w:color="auto"/>
        <w:right w:val="none" w:sz="0" w:space="0" w:color="auto"/>
      </w:divBdr>
    </w:div>
    <w:div w:id="1253051503">
      <w:bodyDiv w:val="1"/>
      <w:marLeft w:val="0"/>
      <w:marRight w:val="0"/>
      <w:marTop w:val="0"/>
      <w:marBottom w:val="0"/>
      <w:divBdr>
        <w:top w:val="none" w:sz="0" w:space="0" w:color="auto"/>
        <w:left w:val="none" w:sz="0" w:space="0" w:color="auto"/>
        <w:bottom w:val="none" w:sz="0" w:space="0" w:color="auto"/>
        <w:right w:val="none" w:sz="0" w:space="0" w:color="auto"/>
      </w:divBdr>
    </w:div>
    <w:div w:id="1436637949">
      <w:bodyDiv w:val="1"/>
      <w:marLeft w:val="0"/>
      <w:marRight w:val="0"/>
      <w:marTop w:val="0"/>
      <w:marBottom w:val="0"/>
      <w:divBdr>
        <w:top w:val="none" w:sz="0" w:space="0" w:color="auto"/>
        <w:left w:val="none" w:sz="0" w:space="0" w:color="auto"/>
        <w:bottom w:val="none" w:sz="0" w:space="0" w:color="auto"/>
        <w:right w:val="none" w:sz="0" w:space="0" w:color="auto"/>
      </w:divBdr>
    </w:div>
    <w:div w:id="1449616968">
      <w:bodyDiv w:val="1"/>
      <w:marLeft w:val="0"/>
      <w:marRight w:val="0"/>
      <w:marTop w:val="0"/>
      <w:marBottom w:val="0"/>
      <w:divBdr>
        <w:top w:val="none" w:sz="0" w:space="0" w:color="auto"/>
        <w:left w:val="none" w:sz="0" w:space="0" w:color="auto"/>
        <w:bottom w:val="none" w:sz="0" w:space="0" w:color="auto"/>
        <w:right w:val="none" w:sz="0" w:space="0" w:color="auto"/>
      </w:divBdr>
    </w:div>
    <w:div w:id="1545096413">
      <w:bodyDiv w:val="1"/>
      <w:marLeft w:val="0"/>
      <w:marRight w:val="0"/>
      <w:marTop w:val="0"/>
      <w:marBottom w:val="0"/>
      <w:divBdr>
        <w:top w:val="none" w:sz="0" w:space="0" w:color="auto"/>
        <w:left w:val="none" w:sz="0" w:space="0" w:color="auto"/>
        <w:bottom w:val="none" w:sz="0" w:space="0" w:color="auto"/>
        <w:right w:val="none" w:sz="0" w:space="0" w:color="auto"/>
      </w:divBdr>
    </w:div>
    <w:div w:id="1567185870">
      <w:bodyDiv w:val="1"/>
      <w:marLeft w:val="0"/>
      <w:marRight w:val="0"/>
      <w:marTop w:val="0"/>
      <w:marBottom w:val="0"/>
      <w:divBdr>
        <w:top w:val="none" w:sz="0" w:space="0" w:color="auto"/>
        <w:left w:val="none" w:sz="0" w:space="0" w:color="auto"/>
        <w:bottom w:val="none" w:sz="0" w:space="0" w:color="auto"/>
        <w:right w:val="none" w:sz="0" w:space="0" w:color="auto"/>
      </w:divBdr>
    </w:div>
    <w:div w:id="1602713721">
      <w:bodyDiv w:val="1"/>
      <w:marLeft w:val="0"/>
      <w:marRight w:val="0"/>
      <w:marTop w:val="0"/>
      <w:marBottom w:val="0"/>
      <w:divBdr>
        <w:top w:val="none" w:sz="0" w:space="0" w:color="auto"/>
        <w:left w:val="none" w:sz="0" w:space="0" w:color="auto"/>
        <w:bottom w:val="none" w:sz="0" w:space="0" w:color="auto"/>
        <w:right w:val="none" w:sz="0" w:space="0" w:color="auto"/>
      </w:divBdr>
    </w:div>
    <w:div w:id="1657802203">
      <w:bodyDiv w:val="1"/>
      <w:marLeft w:val="0"/>
      <w:marRight w:val="0"/>
      <w:marTop w:val="0"/>
      <w:marBottom w:val="0"/>
      <w:divBdr>
        <w:top w:val="none" w:sz="0" w:space="0" w:color="auto"/>
        <w:left w:val="none" w:sz="0" w:space="0" w:color="auto"/>
        <w:bottom w:val="none" w:sz="0" w:space="0" w:color="auto"/>
        <w:right w:val="none" w:sz="0" w:space="0" w:color="auto"/>
      </w:divBdr>
    </w:div>
    <w:div w:id="1696954193">
      <w:bodyDiv w:val="1"/>
      <w:marLeft w:val="0"/>
      <w:marRight w:val="0"/>
      <w:marTop w:val="0"/>
      <w:marBottom w:val="0"/>
      <w:divBdr>
        <w:top w:val="none" w:sz="0" w:space="0" w:color="auto"/>
        <w:left w:val="none" w:sz="0" w:space="0" w:color="auto"/>
        <w:bottom w:val="none" w:sz="0" w:space="0" w:color="auto"/>
        <w:right w:val="none" w:sz="0" w:space="0" w:color="auto"/>
      </w:divBdr>
    </w:div>
    <w:div w:id="1752698046">
      <w:bodyDiv w:val="1"/>
      <w:marLeft w:val="0"/>
      <w:marRight w:val="0"/>
      <w:marTop w:val="0"/>
      <w:marBottom w:val="0"/>
      <w:divBdr>
        <w:top w:val="none" w:sz="0" w:space="0" w:color="auto"/>
        <w:left w:val="none" w:sz="0" w:space="0" w:color="auto"/>
        <w:bottom w:val="none" w:sz="0" w:space="0" w:color="auto"/>
        <w:right w:val="none" w:sz="0" w:space="0" w:color="auto"/>
      </w:divBdr>
    </w:div>
    <w:div w:id="1766919813">
      <w:bodyDiv w:val="1"/>
      <w:marLeft w:val="0"/>
      <w:marRight w:val="0"/>
      <w:marTop w:val="0"/>
      <w:marBottom w:val="0"/>
      <w:divBdr>
        <w:top w:val="none" w:sz="0" w:space="0" w:color="auto"/>
        <w:left w:val="none" w:sz="0" w:space="0" w:color="auto"/>
        <w:bottom w:val="none" w:sz="0" w:space="0" w:color="auto"/>
        <w:right w:val="none" w:sz="0" w:space="0" w:color="auto"/>
      </w:divBdr>
    </w:div>
    <w:div w:id="1838227995">
      <w:bodyDiv w:val="1"/>
      <w:marLeft w:val="0"/>
      <w:marRight w:val="0"/>
      <w:marTop w:val="0"/>
      <w:marBottom w:val="0"/>
      <w:divBdr>
        <w:top w:val="none" w:sz="0" w:space="0" w:color="auto"/>
        <w:left w:val="none" w:sz="0" w:space="0" w:color="auto"/>
        <w:bottom w:val="none" w:sz="0" w:space="0" w:color="auto"/>
        <w:right w:val="none" w:sz="0" w:space="0" w:color="auto"/>
      </w:divBdr>
    </w:div>
    <w:div w:id="1860896885">
      <w:bodyDiv w:val="1"/>
      <w:marLeft w:val="0"/>
      <w:marRight w:val="0"/>
      <w:marTop w:val="0"/>
      <w:marBottom w:val="0"/>
      <w:divBdr>
        <w:top w:val="none" w:sz="0" w:space="0" w:color="auto"/>
        <w:left w:val="none" w:sz="0" w:space="0" w:color="auto"/>
        <w:bottom w:val="none" w:sz="0" w:space="0" w:color="auto"/>
        <w:right w:val="none" w:sz="0" w:space="0" w:color="auto"/>
      </w:divBdr>
    </w:div>
    <w:div w:id="1899900317">
      <w:bodyDiv w:val="1"/>
      <w:marLeft w:val="0"/>
      <w:marRight w:val="0"/>
      <w:marTop w:val="0"/>
      <w:marBottom w:val="0"/>
      <w:divBdr>
        <w:top w:val="none" w:sz="0" w:space="0" w:color="auto"/>
        <w:left w:val="none" w:sz="0" w:space="0" w:color="auto"/>
        <w:bottom w:val="none" w:sz="0" w:space="0" w:color="auto"/>
        <w:right w:val="none" w:sz="0" w:space="0" w:color="auto"/>
      </w:divBdr>
    </w:div>
    <w:div w:id="1912740201">
      <w:bodyDiv w:val="1"/>
      <w:marLeft w:val="0"/>
      <w:marRight w:val="0"/>
      <w:marTop w:val="0"/>
      <w:marBottom w:val="0"/>
      <w:divBdr>
        <w:top w:val="none" w:sz="0" w:space="0" w:color="auto"/>
        <w:left w:val="none" w:sz="0" w:space="0" w:color="auto"/>
        <w:bottom w:val="none" w:sz="0" w:space="0" w:color="auto"/>
        <w:right w:val="none" w:sz="0" w:space="0" w:color="auto"/>
      </w:divBdr>
    </w:div>
    <w:div w:id="1944141402">
      <w:bodyDiv w:val="1"/>
      <w:marLeft w:val="0"/>
      <w:marRight w:val="0"/>
      <w:marTop w:val="0"/>
      <w:marBottom w:val="0"/>
      <w:divBdr>
        <w:top w:val="none" w:sz="0" w:space="0" w:color="auto"/>
        <w:left w:val="none" w:sz="0" w:space="0" w:color="auto"/>
        <w:bottom w:val="none" w:sz="0" w:space="0" w:color="auto"/>
        <w:right w:val="none" w:sz="0" w:space="0" w:color="auto"/>
      </w:divBdr>
    </w:div>
    <w:div w:id="1982422180">
      <w:bodyDiv w:val="1"/>
      <w:marLeft w:val="0"/>
      <w:marRight w:val="0"/>
      <w:marTop w:val="0"/>
      <w:marBottom w:val="0"/>
      <w:divBdr>
        <w:top w:val="none" w:sz="0" w:space="0" w:color="auto"/>
        <w:left w:val="none" w:sz="0" w:space="0" w:color="auto"/>
        <w:bottom w:val="none" w:sz="0" w:space="0" w:color="auto"/>
        <w:right w:val="none" w:sz="0" w:space="0" w:color="auto"/>
      </w:divBdr>
    </w:div>
    <w:div w:id="20546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bialystok.wiih.gov.pl"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Arkusz1!$D$5</c:f>
              <c:strCache>
                <c:ptCount val="1"/>
                <c:pt idx="0">
                  <c:v>2016r.</c:v>
                </c:pt>
              </c:strCache>
            </c:strRef>
          </c:tx>
          <c:spPr>
            <a:solidFill>
              <a:srgbClr val="FF0000"/>
            </a:solidFill>
          </c:spPr>
          <c:invertIfNegative val="0"/>
          <c:dLbls>
            <c:txPr>
              <a:bodyPr/>
              <a:lstStyle/>
              <a:p>
                <a:pPr>
                  <a:defRPr sz="1200" b="1"/>
                </a:pPr>
                <a:endParaRPr lang="pl-PL"/>
              </a:p>
            </c:txPr>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Arkusz1!$D$6:$D$9</c:f>
              <c:numCache>
                <c:formatCode>General</c:formatCode>
                <c:ptCount val="4"/>
                <c:pt idx="0">
                  <c:v>380</c:v>
                </c:pt>
                <c:pt idx="1">
                  <c:v>318</c:v>
                </c:pt>
                <c:pt idx="2">
                  <c:v>303</c:v>
                </c:pt>
                <c:pt idx="3">
                  <c:v>280</c:v>
                </c:pt>
              </c:numCache>
            </c:numRef>
          </c:val>
        </c:ser>
        <c:ser>
          <c:idx val="1"/>
          <c:order val="1"/>
          <c:tx>
            <c:strRef>
              <c:f>Arkusz1!$E$5</c:f>
              <c:strCache>
                <c:ptCount val="1"/>
                <c:pt idx="0">
                  <c:v>2015r.</c:v>
                </c:pt>
              </c:strCache>
            </c:strRef>
          </c:tx>
          <c:spPr>
            <a:solidFill>
              <a:srgbClr val="00B050"/>
            </a:solidFill>
          </c:spPr>
          <c:invertIfNegative val="0"/>
          <c:dLbls>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Arkusz1!$E$6:$E$9</c:f>
              <c:numCache>
                <c:formatCode>General</c:formatCode>
                <c:ptCount val="4"/>
                <c:pt idx="0">
                  <c:v>375</c:v>
                </c:pt>
                <c:pt idx="1">
                  <c:v>315</c:v>
                </c:pt>
                <c:pt idx="2">
                  <c:v>336</c:v>
                </c:pt>
                <c:pt idx="3">
                  <c:v>297</c:v>
                </c:pt>
              </c:numCache>
            </c:numRef>
          </c:val>
        </c:ser>
        <c:dLbls>
          <c:showLegendKey val="0"/>
          <c:showVal val="0"/>
          <c:showCatName val="0"/>
          <c:showSerName val="0"/>
          <c:showPercent val="0"/>
          <c:showBubbleSize val="0"/>
        </c:dLbls>
        <c:gapWidth val="150"/>
        <c:shape val="box"/>
        <c:axId val="81076608"/>
        <c:axId val="81078144"/>
        <c:axId val="0"/>
      </c:bar3DChart>
      <c:catAx>
        <c:axId val="81076608"/>
        <c:scaling>
          <c:orientation val="minMax"/>
        </c:scaling>
        <c:delete val="0"/>
        <c:axPos val="b"/>
        <c:majorTickMark val="out"/>
        <c:minorTickMark val="none"/>
        <c:tickLblPos val="nextTo"/>
        <c:crossAx val="81078144"/>
        <c:crosses val="autoZero"/>
        <c:auto val="1"/>
        <c:lblAlgn val="ctr"/>
        <c:lblOffset val="100"/>
        <c:noMultiLvlLbl val="0"/>
      </c:catAx>
      <c:valAx>
        <c:axId val="81078144"/>
        <c:scaling>
          <c:orientation val="minMax"/>
        </c:scaling>
        <c:delete val="0"/>
        <c:axPos val="l"/>
        <c:majorGridlines/>
        <c:numFmt formatCode="General" sourceLinked="1"/>
        <c:majorTickMark val="out"/>
        <c:minorTickMark val="none"/>
        <c:tickLblPos val="nextTo"/>
        <c:crossAx val="810766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767279090113737E-2"/>
          <c:y val="0.19231044036162145"/>
          <c:w val="0.61085433070866146"/>
          <c:h val="0.77730059784193639"/>
        </c:manualLayout>
      </c:layout>
      <c:pie3DChart>
        <c:varyColors val="1"/>
        <c:ser>
          <c:idx val="0"/>
          <c:order val="0"/>
          <c:tx>
            <c:strRef>
              <c:f>Arkusz1!$D$24</c:f>
              <c:strCache>
                <c:ptCount val="1"/>
                <c:pt idx="0">
                  <c:v>2016r.</c:v>
                </c:pt>
              </c:strCache>
            </c:strRef>
          </c:tx>
          <c:explosion val="25"/>
          <c:dLbls>
            <c:txPr>
              <a:bodyPr/>
              <a:lstStyle/>
              <a:p>
                <a:pPr>
                  <a:defRPr sz="1400"/>
                </a:pPr>
                <a:endParaRPr lang="pl-PL"/>
              </a:p>
            </c:txPr>
            <c:showLegendKey val="0"/>
            <c:showVal val="1"/>
            <c:showCatName val="0"/>
            <c:showSerName val="0"/>
            <c:showPercent val="0"/>
            <c:showBubbleSize val="0"/>
            <c:showLeaderLines val="1"/>
          </c:dLbls>
          <c:cat>
            <c:strRef>
              <c:f>Arkusz1!$C$25:$C$33</c:f>
              <c:strCache>
                <c:ptCount val="9"/>
                <c:pt idx="0">
                  <c:v>producent</c:v>
                </c:pt>
                <c:pt idx="1">
                  <c:v>importer</c:v>
                </c:pt>
                <c:pt idx="2">
                  <c:v>hurtownia</c:v>
                </c:pt>
                <c:pt idx="3">
                  <c:v>detal </c:v>
                </c:pt>
                <c:pt idx="4">
                  <c:v>placówki wielkopowierzchniowe</c:v>
                </c:pt>
                <c:pt idx="5">
                  <c:v>placówki gastronomiczne</c:v>
                </c:pt>
                <c:pt idx="6">
                  <c:v>zakłady usługowe</c:v>
                </c:pt>
                <c:pt idx="7">
                  <c:v>detal na targowiskach</c:v>
                </c:pt>
                <c:pt idx="8">
                  <c:v>inne</c:v>
                </c:pt>
              </c:strCache>
            </c:strRef>
          </c:cat>
          <c:val>
            <c:numRef>
              <c:f>Arkusz1!$D$25:$D$33</c:f>
              <c:numCache>
                <c:formatCode>#,##0</c:formatCode>
                <c:ptCount val="9"/>
                <c:pt idx="0">
                  <c:v>19</c:v>
                </c:pt>
                <c:pt idx="1">
                  <c:v>7</c:v>
                </c:pt>
                <c:pt idx="2">
                  <c:v>42</c:v>
                </c:pt>
                <c:pt idx="3">
                  <c:v>928</c:v>
                </c:pt>
                <c:pt idx="4">
                  <c:v>122</c:v>
                </c:pt>
                <c:pt idx="5">
                  <c:v>69</c:v>
                </c:pt>
                <c:pt idx="6">
                  <c:v>61</c:v>
                </c:pt>
                <c:pt idx="7">
                  <c:v>15</c:v>
                </c:pt>
                <c:pt idx="8">
                  <c:v>18</c:v>
                </c:pt>
              </c:numCache>
            </c:numRef>
          </c:val>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6556970691163605"/>
          <c:y val="4.9305191017789456E-2"/>
          <c:w val="0.33319181977252843"/>
          <c:h val="0.9109629020253065"/>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Arkusz1!$C$42</c:f>
              <c:strCache>
                <c:ptCount val="1"/>
                <c:pt idx="0">
                  <c:v>2016r.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Arkusz1!$D$42:$J$42</c:f>
              <c:numCache>
                <c:formatCode>General</c:formatCode>
                <c:ptCount val="7"/>
                <c:pt idx="0">
                  <c:v>83</c:v>
                </c:pt>
                <c:pt idx="1">
                  <c:v>74</c:v>
                </c:pt>
                <c:pt idx="2">
                  <c:v>792</c:v>
                </c:pt>
                <c:pt idx="3">
                  <c:v>86</c:v>
                </c:pt>
                <c:pt idx="4">
                  <c:v>80</c:v>
                </c:pt>
                <c:pt idx="5">
                  <c:v>46</c:v>
                </c:pt>
                <c:pt idx="6">
                  <c:v>120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tx>
            <c:strRef>
              <c:f>Arkusz1!$C$43</c:f>
              <c:strCache>
                <c:ptCount val="1"/>
                <c:pt idx="0">
                  <c:v>2015r.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Arkusz1!$D$43:$J$43</c:f>
              <c:numCache>
                <c:formatCode>General</c:formatCode>
                <c:ptCount val="7"/>
                <c:pt idx="0">
                  <c:v>103</c:v>
                </c:pt>
                <c:pt idx="1">
                  <c:v>67</c:v>
                </c:pt>
                <c:pt idx="2">
                  <c:v>836</c:v>
                </c:pt>
                <c:pt idx="3">
                  <c:v>101</c:v>
                </c:pt>
                <c:pt idx="4">
                  <c:v>75</c:v>
                </c:pt>
                <c:pt idx="5">
                  <c:v>42</c:v>
                </c:pt>
                <c:pt idx="6">
                  <c:v>99</c:v>
                </c:pt>
              </c:numCache>
            </c:numRef>
          </c:val>
        </c:ser>
        <c:ser>
          <c:idx val="0"/>
          <c:order val="0"/>
          <c:tx>
            <c:strRef>
              <c:f>Arkusz1!$C$42</c:f>
              <c:strCache>
                <c:ptCount val="1"/>
                <c:pt idx="0">
                  <c:v>2016r.</c:v>
                </c:pt>
              </c:strCache>
            </c:strRef>
          </c:tx>
          <c:explosion val="25"/>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Arkusz1!$D$42:$J$42</c:f>
              <c:numCache>
                <c:formatCode>General</c:formatCode>
                <c:ptCount val="7"/>
                <c:pt idx="0">
                  <c:v>83</c:v>
                </c:pt>
                <c:pt idx="1">
                  <c:v>74</c:v>
                </c:pt>
                <c:pt idx="2">
                  <c:v>792</c:v>
                </c:pt>
                <c:pt idx="3">
                  <c:v>86</c:v>
                </c:pt>
                <c:pt idx="4">
                  <c:v>80</c:v>
                </c:pt>
                <c:pt idx="5">
                  <c:v>46</c:v>
                </c:pt>
                <c:pt idx="6">
                  <c:v>120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Arkusz1!$C$57</c:f>
              <c:strCache>
                <c:ptCount val="1"/>
                <c:pt idx="0">
                  <c:v>kontrole planowe UOKiK</c:v>
                </c:pt>
              </c:strCache>
            </c:strRef>
          </c:tx>
          <c:spPr>
            <a:solidFill>
              <a:srgbClr val="FFC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2016r.</c:v>
                </c:pt>
                <c:pt idx="1">
                  <c:v>2015r.</c:v>
                </c:pt>
              </c:strCache>
            </c:strRef>
          </c:cat>
          <c:val>
            <c:numRef>
              <c:f>Arkusz1!$D$57:$E$57</c:f>
              <c:numCache>
                <c:formatCode>General</c:formatCode>
                <c:ptCount val="2"/>
                <c:pt idx="0">
                  <c:v>337</c:v>
                </c:pt>
                <c:pt idx="1">
                  <c:v>401</c:v>
                </c:pt>
              </c:numCache>
            </c:numRef>
          </c:val>
        </c:ser>
        <c:ser>
          <c:idx val="1"/>
          <c:order val="1"/>
          <c:tx>
            <c:strRef>
              <c:f>Arkusz1!$C$58</c:f>
              <c:strCache>
                <c:ptCount val="1"/>
                <c:pt idx="0">
                  <c:v>kontrole własne</c:v>
                </c:pt>
              </c:strCache>
            </c:strRef>
          </c:tx>
          <c:spPr>
            <a:solidFill>
              <a:srgbClr val="FF0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2016r.</c:v>
                </c:pt>
                <c:pt idx="1">
                  <c:v>2015r.</c:v>
                </c:pt>
              </c:strCache>
            </c:strRef>
          </c:cat>
          <c:val>
            <c:numRef>
              <c:f>Arkusz1!$D$58:$E$58</c:f>
              <c:numCache>
                <c:formatCode>General</c:formatCode>
                <c:ptCount val="2"/>
                <c:pt idx="0">
                  <c:v>499</c:v>
                </c:pt>
                <c:pt idx="1">
                  <c:v>381</c:v>
                </c:pt>
              </c:numCache>
            </c:numRef>
          </c:val>
        </c:ser>
        <c:ser>
          <c:idx val="2"/>
          <c:order val="2"/>
          <c:tx>
            <c:strRef>
              <c:f>Arkusz1!$C$59</c:f>
              <c:strCache>
                <c:ptCount val="1"/>
                <c:pt idx="0">
                  <c:v>kontrole interwencyjne</c:v>
                </c:pt>
              </c:strCache>
            </c:strRef>
          </c:tx>
          <c:spPr>
            <a:solidFill>
              <a:srgbClr val="00B0F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2016r.</c:v>
                </c:pt>
                <c:pt idx="1">
                  <c:v>2015r.</c:v>
                </c:pt>
              </c:strCache>
            </c:strRef>
          </c:cat>
          <c:val>
            <c:numRef>
              <c:f>Arkusz1!$D$59:$E$59</c:f>
              <c:numCache>
                <c:formatCode>General</c:formatCode>
                <c:ptCount val="2"/>
                <c:pt idx="0">
                  <c:v>445</c:v>
                </c:pt>
                <c:pt idx="1">
                  <c:v>541</c:v>
                </c:pt>
              </c:numCache>
            </c:numRef>
          </c:val>
        </c:ser>
        <c:dLbls>
          <c:showLegendKey val="0"/>
          <c:showVal val="0"/>
          <c:showCatName val="0"/>
          <c:showSerName val="0"/>
          <c:showPercent val="0"/>
          <c:showBubbleSize val="0"/>
        </c:dLbls>
        <c:gapWidth val="150"/>
        <c:shape val="pyramid"/>
        <c:axId val="169905152"/>
        <c:axId val="169915136"/>
        <c:axId val="0"/>
      </c:bar3DChart>
      <c:catAx>
        <c:axId val="169905152"/>
        <c:scaling>
          <c:orientation val="minMax"/>
        </c:scaling>
        <c:delete val="0"/>
        <c:axPos val="b"/>
        <c:majorTickMark val="out"/>
        <c:minorTickMark val="none"/>
        <c:tickLblPos val="nextTo"/>
        <c:crossAx val="169915136"/>
        <c:crosses val="autoZero"/>
        <c:auto val="1"/>
        <c:lblAlgn val="ctr"/>
        <c:lblOffset val="100"/>
        <c:noMultiLvlLbl val="0"/>
      </c:catAx>
      <c:valAx>
        <c:axId val="169915136"/>
        <c:scaling>
          <c:orientation val="minMax"/>
        </c:scaling>
        <c:delete val="0"/>
        <c:axPos val="l"/>
        <c:majorGridlines/>
        <c:numFmt formatCode="General" sourceLinked="1"/>
        <c:majorTickMark val="out"/>
        <c:minorTickMark val="none"/>
        <c:tickLblPos val="nextTo"/>
        <c:crossAx val="1699051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00B050"/>
              </a:solidFill>
            </c:spPr>
          </c:dPt>
          <c:dLbls>
            <c:txPr>
              <a:bodyPr/>
              <a:lstStyle/>
              <a:p>
                <a:pPr>
                  <a:defRPr sz="1400"/>
                </a:pPr>
                <a:endParaRPr lang="pl-PL"/>
              </a:p>
            </c:txPr>
            <c:showLegendKey val="0"/>
            <c:showVal val="1"/>
            <c:showCatName val="0"/>
            <c:showSerName val="0"/>
            <c:showPercent val="0"/>
            <c:showBubbleSize val="0"/>
            <c:showLeaderLines val="0"/>
          </c:dLbls>
          <c:cat>
            <c:strRef>
              <c:f>Arkusz1!$C$81:$C$84</c:f>
              <c:strCache>
                <c:ptCount val="4"/>
                <c:pt idx="0">
                  <c:v>2016r.</c:v>
                </c:pt>
                <c:pt idx="1">
                  <c:v>2015r.</c:v>
                </c:pt>
                <c:pt idx="2">
                  <c:v>2014r.</c:v>
                </c:pt>
                <c:pt idx="3">
                  <c:v>2013r.</c:v>
                </c:pt>
              </c:strCache>
            </c:strRef>
          </c:cat>
          <c:val>
            <c:numRef>
              <c:f>Arkusz1!$D$81:$D$84</c:f>
              <c:numCache>
                <c:formatCode>General</c:formatCode>
                <c:ptCount val="4"/>
                <c:pt idx="0">
                  <c:v>139</c:v>
                </c:pt>
                <c:pt idx="1">
                  <c:v>134</c:v>
                </c:pt>
                <c:pt idx="2">
                  <c:v>64</c:v>
                </c:pt>
                <c:pt idx="3">
                  <c:v>77</c:v>
                </c:pt>
              </c:numCache>
            </c:numRef>
          </c:val>
        </c:ser>
        <c:dLbls>
          <c:showLegendKey val="0"/>
          <c:showVal val="0"/>
          <c:showCatName val="0"/>
          <c:showSerName val="0"/>
          <c:showPercent val="0"/>
          <c:showBubbleSize val="0"/>
        </c:dLbls>
        <c:gapWidth val="150"/>
        <c:shape val="box"/>
        <c:axId val="81713408"/>
        <c:axId val="169926656"/>
        <c:axId val="0"/>
      </c:bar3DChart>
      <c:catAx>
        <c:axId val="81713408"/>
        <c:scaling>
          <c:orientation val="minMax"/>
        </c:scaling>
        <c:delete val="0"/>
        <c:axPos val="b"/>
        <c:majorTickMark val="out"/>
        <c:minorTickMark val="none"/>
        <c:tickLblPos val="nextTo"/>
        <c:crossAx val="169926656"/>
        <c:crosses val="autoZero"/>
        <c:auto val="1"/>
        <c:lblAlgn val="ctr"/>
        <c:lblOffset val="100"/>
        <c:noMultiLvlLbl val="0"/>
      </c:catAx>
      <c:valAx>
        <c:axId val="169926656"/>
        <c:scaling>
          <c:orientation val="minMax"/>
        </c:scaling>
        <c:delete val="0"/>
        <c:axPos val="l"/>
        <c:majorGridlines/>
        <c:numFmt formatCode="General" sourceLinked="1"/>
        <c:majorTickMark val="out"/>
        <c:minorTickMark val="none"/>
        <c:tickLblPos val="nextTo"/>
        <c:crossAx val="817134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706539814500771E-2"/>
          <c:y val="1.8821459389494123E-2"/>
          <c:w val="0.93335489914864889"/>
          <c:h val="0.9346948818897638"/>
        </c:manualLayout>
      </c:layout>
      <c:pie3DChart>
        <c:varyColors val="1"/>
        <c:ser>
          <c:idx val="0"/>
          <c:order val="0"/>
          <c:spPr>
            <a:solidFill>
              <a:srgbClr val="FF0000"/>
            </a:solidFill>
          </c:spPr>
          <c:explosion val="25"/>
          <c:dPt>
            <c:idx val="1"/>
            <c:bubble3D val="0"/>
            <c:spPr>
              <a:solidFill>
                <a:srgbClr val="00B050"/>
              </a:solidFill>
            </c:spPr>
          </c:dPt>
          <c:dLbls>
            <c:txPr>
              <a:bodyPr/>
              <a:lstStyle/>
              <a:p>
                <a:pPr>
                  <a:defRPr sz="1200" b="1"/>
                </a:pPr>
                <a:endParaRPr lang="pl-PL"/>
              </a:p>
            </c:txPr>
            <c:showLegendKey val="0"/>
            <c:showVal val="1"/>
            <c:showCatName val="0"/>
            <c:showSerName val="0"/>
            <c:showPercent val="0"/>
            <c:showBubbleSize val="0"/>
            <c:showLeaderLines val="1"/>
          </c:dLbls>
          <c:cat>
            <c:strRef>
              <c:f>Arkusz1!$C$91:$C$92</c:f>
              <c:strCache>
                <c:ptCount val="2"/>
                <c:pt idx="0">
                  <c:v>pozytywnie</c:v>
                </c:pt>
                <c:pt idx="1">
                  <c:v>negatywnie</c:v>
                </c:pt>
              </c:strCache>
            </c:strRef>
          </c:cat>
          <c:val>
            <c:numRef>
              <c:f>Arkusz1!$D$91:$D$92</c:f>
              <c:numCache>
                <c:formatCode>General</c:formatCode>
                <c:ptCount val="2"/>
                <c:pt idx="0">
                  <c:v>406</c:v>
                </c:pt>
                <c:pt idx="1">
                  <c:v>64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Arkusz1!$C$110</c:f>
              <c:strCache>
                <c:ptCount val="1"/>
                <c:pt idx="0">
                  <c:v>pozytywnie</c:v>
                </c:pt>
              </c:strCache>
            </c:strRef>
          </c:tx>
          <c:spPr>
            <a:solidFill>
              <a:srgbClr val="FF0000"/>
            </a:solidFill>
          </c:spPr>
          <c:invertIfNegative val="0"/>
          <c:dLbls>
            <c:txPr>
              <a:bodyPr/>
              <a:lstStyle/>
              <a:p>
                <a:pPr>
                  <a:defRPr sz="1200" b="1"/>
                </a:pPr>
                <a:endParaRPr lang="pl-PL"/>
              </a:p>
            </c:txPr>
            <c:showLegendKey val="0"/>
            <c:showVal val="1"/>
            <c:showCatName val="0"/>
            <c:showSerName val="0"/>
            <c:showPercent val="0"/>
            <c:showBubbleSize val="0"/>
            <c:showLeaderLines val="0"/>
          </c:dLbls>
          <c:cat>
            <c:strRef>
              <c:f>Arkusz1!$D$109:$F$109</c:f>
              <c:strCache>
                <c:ptCount val="3"/>
                <c:pt idx="0">
                  <c:v>Białystok</c:v>
                </c:pt>
                <c:pt idx="1">
                  <c:v>Łomża</c:v>
                </c:pt>
                <c:pt idx="2">
                  <c:v>Suwałki</c:v>
                </c:pt>
              </c:strCache>
            </c:strRef>
          </c:cat>
          <c:val>
            <c:numRef>
              <c:f>Arkusz1!$D$110:$F$110</c:f>
              <c:numCache>
                <c:formatCode>General</c:formatCode>
                <c:ptCount val="3"/>
                <c:pt idx="0">
                  <c:v>246</c:v>
                </c:pt>
                <c:pt idx="1">
                  <c:v>105</c:v>
                </c:pt>
                <c:pt idx="2">
                  <c:v>55</c:v>
                </c:pt>
              </c:numCache>
            </c:numRef>
          </c:val>
        </c:ser>
        <c:ser>
          <c:idx val="1"/>
          <c:order val="1"/>
          <c:tx>
            <c:strRef>
              <c:f>Arkusz1!$C$111</c:f>
              <c:strCache>
                <c:ptCount val="1"/>
                <c:pt idx="0">
                  <c:v>negatywnie</c:v>
                </c:pt>
              </c:strCache>
            </c:strRef>
          </c:tx>
          <c:spPr>
            <a:solidFill>
              <a:schemeClr val="tx2">
                <a:lumMod val="40000"/>
                <a:lumOff val="60000"/>
              </a:schemeClr>
            </a:solidFill>
          </c:spPr>
          <c:invertIfNegative val="0"/>
          <c:dLbls>
            <c:txPr>
              <a:bodyPr/>
              <a:lstStyle/>
              <a:p>
                <a:pPr>
                  <a:defRPr sz="1200" b="1"/>
                </a:pPr>
                <a:endParaRPr lang="pl-PL"/>
              </a:p>
            </c:txPr>
            <c:showLegendKey val="0"/>
            <c:showVal val="1"/>
            <c:showCatName val="0"/>
            <c:showSerName val="0"/>
            <c:showPercent val="0"/>
            <c:showBubbleSize val="0"/>
            <c:showLeaderLines val="0"/>
          </c:dLbls>
          <c:cat>
            <c:strRef>
              <c:f>Arkusz1!$D$109:$F$109</c:f>
              <c:strCache>
                <c:ptCount val="3"/>
                <c:pt idx="0">
                  <c:v>Białystok</c:v>
                </c:pt>
                <c:pt idx="1">
                  <c:v>Łomża</c:v>
                </c:pt>
                <c:pt idx="2">
                  <c:v>Suwałki</c:v>
                </c:pt>
              </c:strCache>
            </c:strRef>
          </c:cat>
          <c:val>
            <c:numRef>
              <c:f>Arkusz1!$D$111:$F$111</c:f>
              <c:numCache>
                <c:formatCode>General</c:formatCode>
                <c:ptCount val="3"/>
                <c:pt idx="0">
                  <c:v>44</c:v>
                </c:pt>
                <c:pt idx="1">
                  <c:v>10</c:v>
                </c:pt>
                <c:pt idx="2">
                  <c:v>10</c:v>
                </c:pt>
              </c:numCache>
            </c:numRef>
          </c:val>
        </c:ser>
        <c:dLbls>
          <c:showLegendKey val="0"/>
          <c:showVal val="0"/>
          <c:showCatName val="0"/>
          <c:showSerName val="0"/>
          <c:showPercent val="0"/>
          <c:showBubbleSize val="0"/>
        </c:dLbls>
        <c:gapWidth val="150"/>
        <c:shape val="box"/>
        <c:axId val="169848832"/>
        <c:axId val="169850368"/>
        <c:axId val="0"/>
      </c:bar3DChart>
      <c:catAx>
        <c:axId val="169848832"/>
        <c:scaling>
          <c:orientation val="minMax"/>
        </c:scaling>
        <c:delete val="0"/>
        <c:axPos val="b"/>
        <c:majorTickMark val="out"/>
        <c:minorTickMark val="none"/>
        <c:tickLblPos val="nextTo"/>
        <c:crossAx val="169850368"/>
        <c:crosses val="autoZero"/>
        <c:auto val="1"/>
        <c:lblAlgn val="ctr"/>
        <c:lblOffset val="100"/>
        <c:noMultiLvlLbl val="0"/>
      </c:catAx>
      <c:valAx>
        <c:axId val="169850368"/>
        <c:scaling>
          <c:orientation val="minMax"/>
        </c:scaling>
        <c:delete val="0"/>
        <c:axPos val="l"/>
        <c:majorGridlines/>
        <c:numFmt formatCode="General" sourceLinked="1"/>
        <c:majorTickMark val="out"/>
        <c:minorTickMark val="none"/>
        <c:tickLblPos val="nextTo"/>
        <c:crossAx val="169848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62C3-11C4-4BAF-A717-D91F5FA6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9139</Words>
  <Characters>54835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Sprawozdanie roczne</vt:lpstr>
    </vt:vector>
  </TitlesOfParts>
  <Company>WIIH BIAŁYSTOK</Company>
  <LinksUpToDate>false</LinksUpToDate>
  <CharactersWithSpaces>63847</CharactersWithSpaces>
  <SharedDoc>false</SharedDoc>
  <HLinks>
    <vt:vector size="6" baseType="variant">
      <vt:variant>
        <vt:i4>5439495</vt:i4>
      </vt:variant>
      <vt:variant>
        <vt:i4>9</vt:i4>
      </vt:variant>
      <vt:variant>
        <vt:i4>0</vt:i4>
      </vt:variant>
      <vt:variant>
        <vt:i4>5</vt:i4>
      </vt:variant>
      <vt:variant>
        <vt:lpwstr>http://www.bialystok.wiih.gov.pl/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roczne</dc:title>
  <dc:creator>LeszekL</dc:creator>
  <cp:lastModifiedBy>Helena Łazowska</cp:lastModifiedBy>
  <cp:revision>11</cp:revision>
  <cp:lastPrinted>2017-02-08T12:14:00Z</cp:lastPrinted>
  <dcterms:created xsi:type="dcterms:W3CDTF">2017-02-06T10:56:00Z</dcterms:created>
  <dcterms:modified xsi:type="dcterms:W3CDTF">2017-02-08T12:19:00Z</dcterms:modified>
</cp:coreProperties>
</file>